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5D" w:rsidRPr="0088688B" w:rsidRDefault="00B60E5D" w:rsidP="00C3622A">
      <w:pPr>
        <w:pStyle w:val="Heading3"/>
        <w:jc w:val="both"/>
        <w:rPr>
          <w:rFonts w:ascii="Calibri" w:hAnsi="Calibri"/>
          <w:szCs w:val="28"/>
        </w:rPr>
      </w:pPr>
      <w:r w:rsidRPr="0088688B">
        <w:rPr>
          <w:rFonts w:ascii="Calibri" w:hAnsi="Calibri"/>
          <w:szCs w:val="28"/>
        </w:rPr>
        <w:t>Media release</w:t>
      </w:r>
    </w:p>
    <w:p w:rsidR="00B60E5D" w:rsidRPr="0088688B" w:rsidRDefault="00947C93" w:rsidP="0088688B">
      <w:pPr>
        <w:jc w:val="both"/>
        <w:rPr>
          <w:sz w:val="28"/>
          <w:szCs w:val="28"/>
        </w:rPr>
      </w:pPr>
      <w:r>
        <w:rPr>
          <w:sz w:val="28"/>
          <w:szCs w:val="28"/>
        </w:rPr>
        <w:t>9</w:t>
      </w:r>
      <w:r w:rsidR="00B60E5D" w:rsidRPr="0088688B">
        <w:rPr>
          <w:sz w:val="28"/>
          <w:szCs w:val="28"/>
          <w:vertAlign w:val="superscript"/>
        </w:rPr>
        <w:t>th</w:t>
      </w:r>
      <w:r w:rsidR="00B60E5D" w:rsidRPr="0088688B">
        <w:rPr>
          <w:sz w:val="28"/>
          <w:szCs w:val="28"/>
        </w:rPr>
        <w:t xml:space="preserve"> </w:t>
      </w:r>
      <w:r>
        <w:rPr>
          <w:sz w:val="28"/>
          <w:szCs w:val="28"/>
        </w:rPr>
        <w:t>August</w:t>
      </w:r>
      <w:r w:rsidR="00B60E5D" w:rsidRPr="0088688B">
        <w:rPr>
          <w:sz w:val="28"/>
          <w:szCs w:val="28"/>
        </w:rPr>
        <w:t xml:space="preserve"> 201</w:t>
      </w:r>
      <w:r w:rsidR="00AA57C3">
        <w:rPr>
          <w:sz w:val="28"/>
          <w:szCs w:val="28"/>
        </w:rPr>
        <w:t>2</w:t>
      </w:r>
    </w:p>
    <w:p w:rsidR="00B60E5D" w:rsidRDefault="00E01226" w:rsidP="0088688B">
      <w:pPr>
        <w:jc w:val="both"/>
        <w:rPr>
          <w:b/>
          <w:sz w:val="32"/>
        </w:rPr>
      </w:pPr>
      <w:r>
        <w:rPr>
          <w:b/>
          <w:sz w:val="32"/>
        </w:rPr>
        <w:t xml:space="preserve">Main </w:t>
      </w:r>
      <w:r w:rsidR="00B65841">
        <w:rPr>
          <w:b/>
          <w:sz w:val="32"/>
        </w:rPr>
        <w:t>cities up, provincial centres flat</w:t>
      </w:r>
    </w:p>
    <w:p w:rsidR="008C0C0F" w:rsidRPr="000C4DDD" w:rsidRDefault="00681235" w:rsidP="008C0C0F">
      <w:pPr>
        <w:spacing w:after="0" w:line="240" w:lineRule="auto"/>
      </w:pPr>
      <w:r w:rsidRPr="000C4DDD">
        <w:t xml:space="preserve">Nationwide residential </w:t>
      </w:r>
      <w:r w:rsidR="00661A7D">
        <w:t xml:space="preserve">property values </w:t>
      </w:r>
      <w:r w:rsidR="00E33334">
        <w:t xml:space="preserve">have risen again in </w:t>
      </w:r>
      <w:r w:rsidR="00877CB9">
        <w:t>Ju</w:t>
      </w:r>
      <w:r w:rsidR="00947C93">
        <w:t>ly</w:t>
      </w:r>
      <w:r w:rsidR="00E33334">
        <w:t xml:space="preserve"> according to the </w:t>
      </w:r>
      <w:r w:rsidR="00841D33" w:rsidRPr="000C4DDD">
        <w:t xml:space="preserve">latest </w:t>
      </w:r>
      <w:r w:rsidR="00E33334">
        <w:t xml:space="preserve">QV index. </w:t>
      </w:r>
      <w:r w:rsidR="00877CB9">
        <w:t xml:space="preserve">Values are </w:t>
      </w:r>
      <w:r w:rsidR="00947C93">
        <w:t>up 2.2</w:t>
      </w:r>
      <w:r w:rsidR="00E33334">
        <w:t>% over the past three months</w:t>
      </w:r>
      <w:r w:rsidR="00707D9D">
        <w:t xml:space="preserve">, </w:t>
      </w:r>
      <w:r w:rsidR="00947C93">
        <w:t>4.6</w:t>
      </w:r>
      <w:r w:rsidR="00E33334">
        <w:t xml:space="preserve">% </w:t>
      </w:r>
      <w:r w:rsidR="00FD5B9E" w:rsidRPr="000C4DDD">
        <w:t>up over the past year</w:t>
      </w:r>
      <w:r w:rsidR="00707D9D">
        <w:t xml:space="preserve">, and </w:t>
      </w:r>
      <w:r w:rsidR="00EC4AA1" w:rsidRPr="000C4DDD">
        <w:t xml:space="preserve">are now </w:t>
      </w:r>
      <w:r w:rsidR="00877CB9">
        <w:t xml:space="preserve">only </w:t>
      </w:r>
      <w:r w:rsidR="00947C93">
        <w:t>0.8</w:t>
      </w:r>
      <w:r w:rsidR="003E4A7A" w:rsidRPr="000C4DDD">
        <w:t>% below the previous market peak of late 2007.</w:t>
      </w:r>
      <w:r w:rsidR="008C0C0F">
        <w:t xml:space="preserve"> In inflation adjusted terms values are 13.1% below peak.</w:t>
      </w:r>
    </w:p>
    <w:p w:rsidR="00B60E5D" w:rsidRPr="000C4DDD" w:rsidRDefault="00947C93" w:rsidP="007537D5">
      <w:pPr>
        <w:spacing w:after="0" w:line="240" w:lineRule="auto"/>
      </w:pPr>
      <w:r w:rsidRPr="00947C93">
        <w:rPr>
          <w:noProof/>
          <w:lang w:val="en-US"/>
        </w:rPr>
        <w:drawing>
          <wp:inline distT="0" distB="0" distL="0" distR="0">
            <wp:extent cx="5153025" cy="46767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53025" cy="4676775"/>
                    </a:xfrm>
                    <a:prstGeom prst="rect">
                      <a:avLst/>
                    </a:prstGeom>
                    <a:noFill/>
                    <a:ln w="9525">
                      <a:noFill/>
                      <a:miter lim="800000"/>
                      <a:headEnd/>
                      <a:tailEnd/>
                    </a:ln>
                  </pic:spPr>
                </pic:pic>
              </a:graphicData>
            </a:graphic>
          </wp:inline>
        </w:drawing>
      </w:r>
      <w:r w:rsidR="00351B45">
        <w:t xml:space="preserve">±                                   </w:t>
      </w:r>
    </w:p>
    <w:p w:rsidR="00CD62BB" w:rsidRDefault="00CD62BB" w:rsidP="00CD62BB">
      <w:pPr>
        <w:spacing w:after="0" w:line="240" w:lineRule="auto"/>
      </w:pPr>
      <w:r>
        <w:t xml:space="preserve">Jonno Ingerson, QV.co.nz Research Director </w:t>
      </w:r>
      <w:r w:rsidRPr="000C4DDD">
        <w:t xml:space="preserve">said </w:t>
      </w:r>
      <w:r>
        <w:t xml:space="preserve">“the relatively strong increase in nationwide values can be attributed primarily to </w:t>
      </w:r>
      <w:r w:rsidR="001F6A79">
        <w:t xml:space="preserve">an </w:t>
      </w:r>
      <w:r>
        <w:t>increas</w:t>
      </w:r>
      <w:r w:rsidR="001F6A79">
        <w:t>e</w:t>
      </w:r>
      <w:r>
        <w:t xml:space="preserve"> in the main centres, particularly Auckland and Christchurch. There are </w:t>
      </w:r>
      <w:r w:rsidR="00035914">
        <w:t xml:space="preserve">initial </w:t>
      </w:r>
      <w:r>
        <w:t>hints in th</w:t>
      </w:r>
      <w:r w:rsidR="00035914">
        <w:t>is</w:t>
      </w:r>
      <w:r>
        <w:t xml:space="preserve"> latest</w:t>
      </w:r>
      <w:r w:rsidR="003A08AB">
        <w:t xml:space="preserve"> </w:t>
      </w:r>
      <w:r>
        <w:t>data that values may be levelling in Tauranga and Dunedin after increasing for the past few months, while values in Wellington remain flat” said Ingerson.</w:t>
      </w:r>
    </w:p>
    <w:p w:rsidR="00CD62BB" w:rsidRDefault="00CD62BB" w:rsidP="007537D5">
      <w:pPr>
        <w:spacing w:after="0" w:line="240" w:lineRule="auto"/>
      </w:pPr>
    </w:p>
    <w:p w:rsidR="00A47C11" w:rsidRDefault="00C50DFC" w:rsidP="007537D5">
      <w:pPr>
        <w:spacing w:after="0" w:line="240" w:lineRule="auto"/>
      </w:pPr>
      <w:r w:rsidRPr="000C4DDD">
        <w:t>“</w:t>
      </w:r>
      <w:r w:rsidR="004B6924">
        <w:t>A</w:t>
      </w:r>
      <w:r w:rsidR="00EC49EE">
        <w:t xml:space="preserve">cross most of the main centres </w:t>
      </w:r>
      <w:r w:rsidR="004B6924">
        <w:t>l</w:t>
      </w:r>
      <w:r w:rsidR="00EC49EE">
        <w:t>istings remain relatively tight leading to less choice for buyers. In Auckland this has led to a sellers’ market with prices pushing upwards, while Wellington is showing the first signs of heading that way too.</w:t>
      </w:r>
      <w:r w:rsidR="00A47C11">
        <w:t>”</w:t>
      </w:r>
      <w:r w:rsidR="00EC49EE">
        <w:t xml:space="preserve"> </w:t>
      </w:r>
    </w:p>
    <w:p w:rsidR="00A47C11" w:rsidRDefault="00A47C11" w:rsidP="007537D5">
      <w:pPr>
        <w:spacing w:after="0" w:line="240" w:lineRule="auto"/>
      </w:pPr>
    </w:p>
    <w:p w:rsidR="009A0AD3" w:rsidRDefault="00A47C11" w:rsidP="007537D5">
      <w:pPr>
        <w:spacing w:after="0" w:line="240" w:lineRule="auto"/>
      </w:pPr>
      <w:r>
        <w:t>“</w:t>
      </w:r>
      <w:r w:rsidR="00EC49EE">
        <w:t xml:space="preserve">First home buyers are also active, spurred by low mortgage interest rates. This is </w:t>
      </w:r>
      <w:r w:rsidR="00446931">
        <w:t xml:space="preserve">starting </w:t>
      </w:r>
      <w:r w:rsidR="00EC49EE">
        <w:t xml:space="preserve">to encourage property investors and small developers back into the market, although investors are now careful to ensure their purchases return a decent yield rather than relying on capital gain. There has also been an increase in activity in the middle to upper range of the market which can possibly </w:t>
      </w:r>
      <w:r w:rsidR="00EC49EE">
        <w:lastRenderedPageBreak/>
        <w:t>be attributed to people coming back into the market after ha</w:t>
      </w:r>
      <w:r w:rsidR="00CC5619">
        <w:t>v</w:t>
      </w:r>
      <w:r w:rsidR="00CD62BB">
        <w:t>ing held off for several years” said Ingerson.</w:t>
      </w:r>
    </w:p>
    <w:p w:rsidR="009A0AD3" w:rsidRDefault="009A0AD3" w:rsidP="007537D5">
      <w:pPr>
        <w:spacing w:after="0" w:line="240" w:lineRule="auto"/>
      </w:pPr>
    </w:p>
    <w:p w:rsidR="000507BC" w:rsidRDefault="006850DB" w:rsidP="007537D5">
      <w:pPr>
        <w:spacing w:after="0" w:line="240" w:lineRule="auto"/>
      </w:pPr>
      <w:r w:rsidRPr="000C4DDD">
        <w:t>“</w:t>
      </w:r>
      <w:r w:rsidR="00CC5619">
        <w:t xml:space="preserve">For much of this year sales activity has been well above </w:t>
      </w:r>
      <w:r w:rsidR="00E03FCC">
        <w:t>the previous two years</w:t>
      </w:r>
      <w:r w:rsidR="009A0AD3">
        <w:t xml:space="preserve">. A measure of confidence seems to have returned </w:t>
      </w:r>
      <w:r w:rsidR="00773C02">
        <w:t>for</w:t>
      </w:r>
      <w:r w:rsidR="009A0AD3">
        <w:t xml:space="preserve"> many buyers, albeit measured confidence. Looking back over the last </w:t>
      </w:r>
      <w:r w:rsidR="00773C02">
        <w:t>30</w:t>
      </w:r>
      <w:r w:rsidR="009A0AD3">
        <w:t xml:space="preserve"> years, the number of sales usually reaches a low point in June before increasing every month from now until November. We expect sales volumes to follow that trend again this year</w:t>
      </w:r>
      <w:r w:rsidR="00773C02">
        <w:t>,</w:t>
      </w:r>
      <w:r w:rsidR="009A0AD3">
        <w:t xml:space="preserve"> although if the lack of quality listings continues then this may prevent otherwise enthusiastic buyers from purchasing</w:t>
      </w:r>
      <w:r w:rsidR="00CD62BB">
        <w:t>” said Ingerson.</w:t>
      </w:r>
    </w:p>
    <w:p w:rsidR="00BC3E4C" w:rsidRDefault="00BC3E4C" w:rsidP="007537D5">
      <w:pPr>
        <w:spacing w:after="0" w:line="240" w:lineRule="auto"/>
      </w:pPr>
    </w:p>
    <w:p w:rsidR="00C82F35" w:rsidRDefault="00566A54" w:rsidP="007537D5">
      <w:pPr>
        <w:spacing w:after="0" w:line="240" w:lineRule="auto"/>
        <w:rPr>
          <w:b/>
        </w:rPr>
      </w:pPr>
      <w:r w:rsidRPr="000C4DDD">
        <w:rPr>
          <w:b/>
        </w:rPr>
        <w:t>Auckland</w:t>
      </w:r>
    </w:p>
    <w:p w:rsidR="007B4976" w:rsidRDefault="005F4535" w:rsidP="007537D5">
      <w:pPr>
        <w:spacing w:after="0" w:line="240" w:lineRule="auto"/>
        <w:rPr>
          <w:rFonts w:eastAsiaTheme="minorHAnsi" w:cstheme="minorBidi"/>
        </w:rPr>
      </w:pPr>
      <w:r>
        <w:rPr>
          <w:rFonts w:eastAsiaTheme="minorHAnsi" w:cstheme="minorBidi"/>
        </w:rPr>
        <w:t>V</w:t>
      </w:r>
      <w:r w:rsidR="00005B6D" w:rsidRPr="000C4DDD">
        <w:rPr>
          <w:rFonts w:eastAsiaTheme="minorHAnsi" w:cstheme="minorBidi"/>
        </w:rPr>
        <w:t xml:space="preserve">alues in the </w:t>
      </w:r>
      <w:r w:rsidR="00314E4B" w:rsidRPr="000C4DDD">
        <w:rPr>
          <w:rFonts w:eastAsiaTheme="minorHAnsi" w:cstheme="minorBidi"/>
        </w:rPr>
        <w:t xml:space="preserve">wider </w:t>
      </w:r>
      <w:r w:rsidR="00F54540" w:rsidRPr="000C4DDD">
        <w:rPr>
          <w:rFonts w:eastAsiaTheme="minorHAnsi" w:cstheme="minorBidi"/>
        </w:rPr>
        <w:t xml:space="preserve">Auckland area </w:t>
      </w:r>
      <w:r w:rsidR="007B1E2D" w:rsidRPr="000C4DDD">
        <w:rPr>
          <w:rFonts w:eastAsiaTheme="minorHAnsi" w:cstheme="minorBidi"/>
        </w:rPr>
        <w:t xml:space="preserve">are up </w:t>
      </w:r>
      <w:r w:rsidR="007B4976">
        <w:rPr>
          <w:rFonts w:eastAsiaTheme="minorHAnsi" w:cstheme="minorBidi"/>
        </w:rPr>
        <w:t>6.3</w:t>
      </w:r>
      <w:r w:rsidR="00BC3E4C">
        <w:rPr>
          <w:rFonts w:eastAsiaTheme="minorHAnsi" w:cstheme="minorBidi"/>
        </w:rPr>
        <w:t xml:space="preserve">% </w:t>
      </w:r>
      <w:r>
        <w:rPr>
          <w:rFonts w:eastAsiaTheme="minorHAnsi" w:cstheme="minorBidi"/>
        </w:rPr>
        <w:t xml:space="preserve">over the past </w:t>
      </w:r>
      <w:r w:rsidR="00BC3E4C">
        <w:rPr>
          <w:rFonts w:eastAsiaTheme="minorHAnsi" w:cstheme="minorBidi"/>
        </w:rPr>
        <w:t xml:space="preserve">year, </w:t>
      </w:r>
      <w:r w:rsidR="007B4976">
        <w:rPr>
          <w:rFonts w:eastAsiaTheme="minorHAnsi" w:cstheme="minorBidi"/>
        </w:rPr>
        <w:t xml:space="preserve">with the pace of </w:t>
      </w:r>
      <w:r w:rsidR="00500E76">
        <w:rPr>
          <w:rFonts w:eastAsiaTheme="minorHAnsi" w:cstheme="minorBidi"/>
        </w:rPr>
        <w:t xml:space="preserve">the </w:t>
      </w:r>
      <w:r w:rsidR="007B4976">
        <w:rPr>
          <w:rFonts w:eastAsiaTheme="minorHAnsi" w:cstheme="minorBidi"/>
        </w:rPr>
        <w:t>increase picking up since April. In the last three months values have increased 3.1%.</w:t>
      </w:r>
    </w:p>
    <w:p w:rsidR="00BC3E4C" w:rsidRDefault="00BC3E4C" w:rsidP="007537D5">
      <w:pPr>
        <w:spacing w:after="0" w:line="240" w:lineRule="auto"/>
        <w:rPr>
          <w:rFonts w:eastAsiaTheme="minorHAnsi" w:cstheme="minorBidi"/>
        </w:rPr>
      </w:pPr>
    </w:p>
    <w:p w:rsidR="007B4976" w:rsidRDefault="00F71A76" w:rsidP="007537D5">
      <w:pPr>
        <w:spacing w:after="0" w:line="240" w:lineRule="auto"/>
      </w:pPr>
      <w:r>
        <w:t xml:space="preserve">Values </w:t>
      </w:r>
      <w:r w:rsidR="007B4976">
        <w:t xml:space="preserve">have increased the most in </w:t>
      </w:r>
      <w:r>
        <w:t xml:space="preserve">old Auckland city, up </w:t>
      </w:r>
      <w:r w:rsidR="007B4976">
        <w:t xml:space="preserve">7.1% </w:t>
      </w:r>
      <w:r>
        <w:t>over the past year</w:t>
      </w:r>
      <w:r w:rsidR="007B4976">
        <w:t>, and up 3.2% over the past three months. North Shore, Waitakere and Manukau aren’t far behind rising 6.2%, 5.9% and 6.0% over the past year respectively. In the past three months North Shore values have increased by 3.5%, while Waitakere and Manukau are both up 2.8% in that time.</w:t>
      </w:r>
    </w:p>
    <w:p w:rsidR="007B4976" w:rsidRDefault="007B4976" w:rsidP="007537D5">
      <w:pPr>
        <w:spacing w:after="0" w:line="240" w:lineRule="auto"/>
      </w:pPr>
    </w:p>
    <w:p w:rsidR="00F71A76" w:rsidRDefault="00D06509" w:rsidP="007537D5">
      <w:pPr>
        <w:spacing w:after="0" w:line="240" w:lineRule="auto"/>
      </w:pPr>
      <w:r>
        <w:t>Values in the wider Auckland area are now 5.6% above the 2007 market peak, with the old Auckland City leading the way at 8.4% above. When inflation is taken into account old Auckland city values remain 5.2% below the peak although at the current rate of increase will soon be above the previous peak in inflation adjusted terms also.</w:t>
      </w:r>
    </w:p>
    <w:p w:rsidR="008C0C0F" w:rsidRPr="00C82F35" w:rsidRDefault="008C0C0F" w:rsidP="007537D5">
      <w:pPr>
        <w:spacing w:after="0" w:line="240" w:lineRule="auto"/>
        <w:rPr>
          <w:b/>
        </w:rPr>
      </w:pPr>
    </w:p>
    <w:p w:rsidR="008C0C0F" w:rsidRPr="00682321" w:rsidRDefault="00F71A76" w:rsidP="008C0C0F">
      <w:pPr>
        <w:rPr>
          <w:rFonts w:asciiTheme="minorHAnsi" w:hAnsiTheme="minorHAnsi" w:cs="Arial"/>
          <w:szCs w:val="20"/>
        </w:rPr>
      </w:pPr>
      <w:r w:rsidRPr="00C541D4">
        <w:t xml:space="preserve">QV </w:t>
      </w:r>
      <w:proofErr w:type="spellStart"/>
      <w:r w:rsidRPr="00C541D4">
        <w:t>Valuer</w:t>
      </w:r>
      <w:proofErr w:type="spellEnd"/>
      <w:r w:rsidRPr="00C541D4">
        <w:t xml:space="preserve"> </w:t>
      </w:r>
      <w:r w:rsidR="00D06509">
        <w:t xml:space="preserve">Jan </w:t>
      </w:r>
      <w:proofErr w:type="spellStart"/>
      <w:r w:rsidR="00D06509">
        <w:t>O’Donohue</w:t>
      </w:r>
      <w:proofErr w:type="spellEnd"/>
      <w:r w:rsidR="00D06509">
        <w:t xml:space="preserve"> said</w:t>
      </w:r>
      <w:r w:rsidRPr="00C541D4">
        <w:t xml:space="preserve"> </w:t>
      </w:r>
      <w:r w:rsidR="008C0C0F" w:rsidRPr="00682321">
        <w:rPr>
          <w:rFonts w:asciiTheme="minorHAnsi" w:hAnsiTheme="minorHAnsi" w:cs="Arial"/>
          <w:szCs w:val="20"/>
        </w:rPr>
        <w:t>“Auckland continues to be a sellers</w:t>
      </w:r>
      <w:r w:rsidR="008C0C0F">
        <w:rPr>
          <w:rFonts w:asciiTheme="minorHAnsi" w:hAnsiTheme="minorHAnsi" w:cs="Arial"/>
          <w:szCs w:val="20"/>
        </w:rPr>
        <w:t>’</w:t>
      </w:r>
      <w:r w:rsidR="008C0C0F" w:rsidRPr="00682321">
        <w:rPr>
          <w:rFonts w:asciiTheme="minorHAnsi" w:hAnsiTheme="minorHAnsi" w:cs="Arial"/>
          <w:szCs w:val="20"/>
        </w:rPr>
        <w:t xml:space="preserve"> market with limited listings in most areas. The </w:t>
      </w:r>
      <w:r w:rsidR="00EE3230">
        <w:rPr>
          <w:rFonts w:asciiTheme="minorHAnsi" w:hAnsiTheme="minorHAnsi" w:cs="Arial"/>
          <w:szCs w:val="20"/>
        </w:rPr>
        <w:t xml:space="preserve">market has changed in the </w:t>
      </w:r>
      <w:r w:rsidR="008C0C0F" w:rsidRPr="00682321">
        <w:rPr>
          <w:rFonts w:asciiTheme="minorHAnsi" w:hAnsiTheme="minorHAnsi" w:cs="Arial"/>
          <w:szCs w:val="20"/>
        </w:rPr>
        <w:t xml:space="preserve">North Shore </w:t>
      </w:r>
      <w:r w:rsidR="00EE3230">
        <w:rPr>
          <w:rFonts w:asciiTheme="minorHAnsi" w:hAnsiTheme="minorHAnsi" w:cs="Arial"/>
          <w:szCs w:val="20"/>
        </w:rPr>
        <w:t xml:space="preserve">over the past couple of months with buyers now acting with more confidence and a sense of almost certainty that the market was heading upwards. This is leading to increased </w:t>
      </w:r>
      <w:r w:rsidR="008C0C0F" w:rsidRPr="00682321">
        <w:rPr>
          <w:rFonts w:asciiTheme="minorHAnsi" w:hAnsiTheme="minorHAnsi" w:cs="Arial"/>
          <w:szCs w:val="20"/>
        </w:rPr>
        <w:t>compe</w:t>
      </w:r>
      <w:r w:rsidR="008C0C0F">
        <w:rPr>
          <w:rFonts w:asciiTheme="minorHAnsi" w:hAnsiTheme="minorHAnsi" w:cs="Arial"/>
          <w:szCs w:val="20"/>
        </w:rPr>
        <w:t>t</w:t>
      </w:r>
      <w:r w:rsidR="008C0C0F" w:rsidRPr="00682321">
        <w:rPr>
          <w:rFonts w:asciiTheme="minorHAnsi" w:hAnsiTheme="minorHAnsi" w:cs="Arial"/>
          <w:szCs w:val="20"/>
        </w:rPr>
        <w:t>ition</w:t>
      </w:r>
      <w:r w:rsidR="00EE3230">
        <w:rPr>
          <w:rFonts w:asciiTheme="minorHAnsi" w:hAnsiTheme="minorHAnsi" w:cs="Arial"/>
          <w:szCs w:val="20"/>
        </w:rPr>
        <w:t xml:space="preserve"> and prices are edging </w:t>
      </w:r>
      <w:r w:rsidR="008C0C0F" w:rsidRPr="00682321">
        <w:rPr>
          <w:rFonts w:asciiTheme="minorHAnsi" w:hAnsiTheme="minorHAnsi" w:cs="Arial"/>
          <w:szCs w:val="20"/>
        </w:rPr>
        <w:t xml:space="preserve">up accordingly.  Prices are also rising south of the Harbour Bridge with Avondale, Blockhouse Bay, Mt </w:t>
      </w:r>
      <w:proofErr w:type="spellStart"/>
      <w:r w:rsidR="008C0C0F" w:rsidRPr="00682321">
        <w:rPr>
          <w:rFonts w:asciiTheme="minorHAnsi" w:hAnsiTheme="minorHAnsi" w:cs="Arial"/>
          <w:szCs w:val="20"/>
        </w:rPr>
        <w:t>Roskill</w:t>
      </w:r>
      <w:proofErr w:type="spellEnd"/>
      <w:r w:rsidR="008C0C0F" w:rsidRPr="00682321">
        <w:rPr>
          <w:rFonts w:asciiTheme="minorHAnsi" w:hAnsiTheme="minorHAnsi" w:cs="Arial"/>
          <w:szCs w:val="20"/>
        </w:rPr>
        <w:t xml:space="preserve">, </w:t>
      </w:r>
      <w:proofErr w:type="spellStart"/>
      <w:r w:rsidR="008C0C0F" w:rsidRPr="00682321">
        <w:rPr>
          <w:rFonts w:asciiTheme="minorHAnsi" w:hAnsiTheme="minorHAnsi" w:cs="Arial"/>
          <w:szCs w:val="20"/>
        </w:rPr>
        <w:t>Pakuranga</w:t>
      </w:r>
      <w:proofErr w:type="spellEnd"/>
      <w:r w:rsidR="008C0C0F" w:rsidRPr="00682321">
        <w:rPr>
          <w:rFonts w:asciiTheme="minorHAnsi" w:hAnsiTheme="minorHAnsi" w:cs="Arial"/>
          <w:szCs w:val="20"/>
        </w:rPr>
        <w:t xml:space="preserve"> and </w:t>
      </w:r>
      <w:proofErr w:type="spellStart"/>
      <w:r w:rsidR="008C0C0F" w:rsidRPr="00682321">
        <w:rPr>
          <w:rFonts w:asciiTheme="minorHAnsi" w:hAnsiTheme="minorHAnsi" w:cs="Arial"/>
          <w:szCs w:val="20"/>
        </w:rPr>
        <w:t>Howick</w:t>
      </w:r>
      <w:proofErr w:type="spellEnd"/>
      <w:r w:rsidR="008C0C0F" w:rsidRPr="00682321">
        <w:rPr>
          <w:rFonts w:asciiTheme="minorHAnsi" w:hAnsiTheme="minorHAnsi" w:cs="Arial"/>
          <w:szCs w:val="20"/>
        </w:rPr>
        <w:t xml:space="preserve"> popular. Many vendors are also opting to sell by auction, with the auction dates being brought forward when interest is h</w:t>
      </w:r>
      <w:r w:rsidR="009B1626">
        <w:rPr>
          <w:rFonts w:asciiTheme="minorHAnsi" w:hAnsiTheme="minorHAnsi" w:cs="Arial"/>
          <w:szCs w:val="20"/>
        </w:rPr>
        <w:t>igh</w:t>
      </w:r>
      <w:r w:rsidR="008C0C0F" w:rsidRPr="00682321">
        <w:rPr>
          <w:rFonts w:asciiTheme="minorHAnsi" w:hAnsiTheme="minorHAnsi" w:cs="Arial"/>
          <w:szCs w:val="20"/>
        </w:rPr>
        <w:t>”</w:t>
      </w:r>
      <w:r w:rsidR="009B1626">
        <w:rPr>
          <w:rFonts w:asciiTheme="minorHAnsi" w:hAnsiTheme="minorHAnsi" w:cs="Arial"/>
          <w:szCs w:val="20"/>
        </w:rPr>
        <w:t>.</w:t>
      </w:r>
    </w:p>
    <w:p w:rsidR="00F71A76" w:rsidRPr="00C541D4" w:rsidRDefault="008C0C0F" w:rsidP="00C541D4">
      <w:pPr>
        <w:spacing w:after="0" w:line="240" w:lineRule="auto"/>
      </w:pPr>
      <w:r w:rsidRPr="00682321">
        <w:rPr>
          <w:rFonts w:asciiTheme="minorHAnsi" w:hAnsiTheme="minorHAnsi" w:cs="Arial"/>
          <w:szCs w:val="20"/>
        </w:rPr>
        <w:t>“Property investors and small developers are coming back into the market to the point whereby first home buyers are struggling to match them and second home buyers with equity. More investors are continuing to add to their portfolio in the west, where values continue to be steady</w:t>
      </w:r>
      <w:r w:rsidR="00C541D4">
        <w:t>”</w:t>
      </w:r>
      <w:r>
        <w:t xml:space="preserve"> said </w:t>
      </w:r>
      <w:proofErr w:type="spellStart"/>
      <w:r>
        <w:t>O’Donohue</w:t>
      </w:r>
      <w:proofErr w:type="spellEnd"/>
      <w:r>
        <w:t>.</w:t>
      </w:r>
    </w:p>
    <w:p w:rsidR="00C82F35" w:rsidRPr="00C541D4" w:rsidRDefault="00C82F35" w:rsidP="00C541D4">
      <w:pPr>
        <w:spacing w:after="0" w:line="240" w:lineRule="auto"/>
      </w:pPr>
    </w:p>
    <w:p w:rsidR="004526D2" w:rsidRPr="000C4DDD" w:rsidRDefault="004526D2" w:rsidP="007537D5">
      <w:pPr>
        <w:spacing w:after="0" w:line="240" w:lineRule="auto"/>
        <w:rPr>
          <w:b/>
        </w:rPr>
      </w:pPr>
      <w:r w:rsidRPr="000C4DDD">
        <w:rPr>
          <w:b/>
        </w:rPr>
        <w:t>Hamilton</w:t>
      </w:r>
      <w:r w:rsidR="008C0C0F">
        <w:rPr>
          <w:b/>
        </w:rPr>
        <w:t xml:space="preserve"> and Tauranga</w:t>
      </w:r>
    </w:p>
    <w:p w:rsidR="00531BDC" w:rsidRDefault="004526D2" w:rsidP="007537D5">
      <w:pPr>
        <w:spacing w:after="0" w:line="240" w:lineRule="auto"/>
      </w:pPr>
      <w:r w:rsidRPr="000C4DDD">
        <w:t xml:space="preserve">Values in Hamilton </w:t>
      </w:r>
      <w:r w:rsidR="00D57B73" w:rsidRPr="000C4DDD">
        <w:t xml:space="preserve">have </w:t>
      </w:r>
      <w:r w:rsidR="0035196E">
        <w:t>risen 1.7% over the pa</w:t>
      </w:r>
      <w:r w:rsidR="008C0C0F">
        <w:t>st three months, and are now 3.5</w:t>
      </w:r>
      <w:r w:rsidR="0035196E">
        <w:t xml:space="preserve">% higher than the same time last year. </w:t>
      </w:r>
      <w:r w:rsidR="008C0C0F">
        <w:t xml:space="preserve">In Tauranga </w:t>
      </w:r>
      <w:r w:rsidR="00EE3230">
        <w:t xml:space="preserve">values </w:t>
      </w:r>
      <w:r w:rsidR="00D124E0">
        <w:t xml:space="preserve">have been flat for most of the past year, with most of the 1.6% increase over that time occurring in the last three months. Those rises may be short lived however as the latest month shows values flattening again. </w:t>
      </w:r>
      <w:r w:rsidR="0035196E">
        <w:t xml:space="preserve">In contrast to Auckland, values in </w:t>
      </w:r>
      <w:r w:rsidR="00D124E0">
        <w:t xml:space="preserve">both </w:t>
      </w:r>
      <w:r w:rsidR="0035196E">
        <w:t xml:space="preserve">Hamilton </w:t>
      </w:r>
      <w:r w:rsidR="00D124E0">
        <w:t xml:space="preserve">and Tauranga remain well below the </w:t>
      </w:r>
      <w:r w:rsidR="0035196E">
        <w:t>2007 market peak</w:t>
      </w:r>
      <w:r w:rsidR="00D124E0">
        <w:t>, by 9.1% and 10.3% respectively</w:t>
      </w:r>
      <w:r w:rsidR="00531BDC">
        <w:t>.</w:t>
      </w:r>
    </w:p>
    <w:p w:rsidR="00C82F35" w:rsidRDefault="00C82F35" w:rsidP="007537D5">
      <w:pPr>
        <w:spacing w:after="0" w:line="240" w:lineRule="auto"/>
        <w:rPr>
          <w:b/>
        </w:rPr>
      </w:pPr>
    </w:p>
    <w:p w:rsidR="00566A54" w:rsidRPr="000C4DDD" w:rsidRDefault="00566A54" w:rsidP="007537D5">
      <w:pPr>
        <w:spacing w:after="0" w:line="240" w:lineRule="auto"/>
        <w:rPr>
          <w:b/>
        </w:rPr>
      </w:pPr>
      <w:r w:rsidRPr="000C4DDD">
        <w:rPr>
          <w:b/>
        </w:rPr>
        <w:t>Wellington</w:t>
      </w:r>
    </w:p>
    <w:p w:rsidR="003B378C" w:rsidRDefault="00D124E0" w:rsidP="007537D5">
      <w:pPr>
        <w:spacing w:after="0" w:line="240" w:lineRule="auto"/>
      </w:pPr>
      <w:r>
        <w:t>V</w:t>
      </w:r>
      <w:r w:rsidR="0035196E">
        <w:t xml:space="preserve">alues in the Wellington area have increased </w:t>
      </w:r>
      <w:r>
        <w:t xml:space="preserve">by 2.1% over the </w:t>
      </w:r>
      <w:r w:rsidR="0035196E">
        <w:t>past year</w:t>
      </w:r>
      <w:r>
        <w:t>, although almost all of that increase took place in the second half of 2011</w:t>
      </w:r>
      <w:r w:rsidR="008E0BCB">
        <w:t xml:space="preserve"> with the last three months showing no change. </w:t>
      </w:r>
      <w:r w:rsidR="003B378C">
        <w:t>Values in the Wellington area are currently 5.</w:t>
      </w:r>
      <w:r w:rsidR="008E0BCB">
        <w:t>7</w:t>
      </w:r>
      <w:r w:rsidR="003B378C">
        <w:t>% below the previous market peak.</w:t>
      </w:r>
    </w:p>
    <w:p w:rsidR="00C82F35" w:rsidRDefault="00C82F35" w:rsidP="007537D5">
      <w:pPr>
        <w:spacing w:after="0" w:line="240" w:lineRule="auto"/>
      </w:pPr>
    </w:p>
    <w:p w:rsidR="00566A54" w:rsidRPr="000C4DDD" w:rsidRDefault="00566A54" w:rsidP="00CD62BB">
      <w:pPr>
        <w:keepNext/>
        <w:spacing w:after="0" w:line="240" w:lineRule="auto"/>
        <w:rPr>
          <w:b/>
        </w:rPr>
      </w:pPr>
      <w:r w:rsidRPr="000C4DDD">
        <w:rPr>
          <w:b/>
        </w:rPr>
        <w:lastRenderedPageBreak/>
        <w:t>Christchurch</w:t>
      </w:r>
    </w:p>
    <w:p w:rsidR="00E071CA" w:rsidRDefault="003958FE" w:rsidP="00CD62BB">
      <w:pPr>
        <w:keepNext/>
        <w:spacing w:after="0" w:line="240" w:lineRule="auto"/>
      </w:pPr>
      <w:r w:rsidRPr="000C4DDD">
        <w:t>Values in Christchurch ha</w:t>
      </w:r>
      <w:r w:rsidR="00984A4E">
        <w:t xml:space="preserve">ve </w:t>
      </w:r>
      <w:r w:rsidR="005064DA">
        <w:t>risen 5.8% over the past year</w:t>
      </w:r>
      <w:r w:rsidR="008E0BCB">
        <w:t xml:space="preserve"> and 2.1</w:t>
      </w:r>
      <w:r w:rsidR="00E071CA">
        <w:t>% over the past three months to now sit 1.</w:t>
      </w:r>
      <w:r w:rsidR="008E0BCB">
        <w:t>9</w:t>
      </w:r>
      <w:r w:rsidR="00E071CA">
        <w:t>% above the previous market peak of late 2007.</w:t>
      </w:r>
    </w:p>
    <w:p w:rsidR="00C82F35" w:rsidRDefault="00C82F35" w:rsidP="007537D5">
      <w:pPr>
        <w:spacing w:after="0" w:line="240" w:lineRule="auto"/>
      </w:pPr>
    </w:p>
    <w:p w:rsidR="00E071CA" w:rsidRDefault="00E22417" w:rsidP="007537D5">
      <w:pPr>
        <w:spacing w:after="0" w:line="240" w:lineRule="auto"/>
      </w:pPr>
      <w:r w:rsidRPr="000C4DDD">
        <w:t xml:space="preserve">The </w:t>
      </w:r>
      <w:r w:rsidR="00075034" w:rsidRPr="000C4DDD">
        <w:t xml:space="preserve">Waimakariri </w:t>
      </w:r>
      <w:r w:rsidR="00E071CA">
        <w:t>and Selwyn Districts continue to increase in value faster than anywhere else in the country, with both now well above the previous market peak. Waimakariri is up 13.</w:t>
      </w:r>
      <w:r w:rsidR="008E0BCB">
        <w:t>9</w:t>
      </w:r>
      <w:r w:rsidR="00E071CA">
        <w:t>% over the past year and 1</w:t>
      </w:r>
      <w:r w:rsidR="008E0BCB">
        <w:t>3.0</w:t>
      </w:r>
      <w:r w:rsidR="00E071CA">
        <w:t xml:space="preserve">% above the 2007 peak, </w:t>
      </w:r>
      <w:r w:rsidR="008E0BCB">
        <w:t xml:space="preserve">while </w:t>
      </w:r>
      <w:r w:rsidR="00E071CA">
        <w:t>Selwyn is up 1</w:t>
      </w:r>
      <w:r w:rsidR="008E0BCB">
        <w:t>3.0</w:t>
      </w:r>
      <w:r w:rsidR="00E071CA">
        <w:t xml:space="preserve">% over the past year and is </w:t>
      </w:r>
      <w:r w:rsidR="008E0BCB">
        <w:t>12.9</w:t>
      </w:r>
      <w:r w:rsidR="00E071CA">
        <w:t>% above peak.</w:t>
      </w:r>
    </w:p>
    <w:p w:rsidR="00C82F35" w:rsidRDefault="00C82F35" w:rsidP="007537D5">
      <w:pPr>
        <w:spacing w:after="0" w:line="240" w:lineRule="auto"/>
        <w:rPr>
          <w:rFonts w:asciiTheme="minorHAnsi" w:hAnsiTheme="minorHAnsi" w:cstheme="minorHAnsi"/>
          <w:lang w:val="en-US"/>
        </w:rPr>
      </w:pPr>
    </w:p>
    <w:p w:rsidR="008E0BCB" w:rsidRPr="00682321" w:rsidRDefault="005064DA" w:rsidP="008E0BCB">
      <w:pPr>
        <w:pStyle w:val="NoSpacing"/>
        <w:rPr>
          <w:rFonts w:cs="Arial"/>
          <w:szCs w:val="20"/>
        </w:rPr>
      </w:pPr>
      <w:r>
        <w:rPr>
          <w:rFonts w:cstheme="minorHAnsi"/>
          <w:lang w:val="en-US"/>
        </w:rPr>
        <w:t xml:space="preserve">QV </w:t>
      </w:r>
      <w:proofErr w:type="spellStart"/>
      <w:r>
        <w:rPr>
          <w:rFonts w:cstheme="minorHAnsi"/>
          <w:lang w:val="en-US"/>
        </w:rPr>
        <w:t>Valuer</w:t>
      </w:r>
      <w:proofErr w:type="spellEnd"/>
      <w:r>
        <w:rPr>
          <w:rFonts w:cstheme="minorHAnsi"/>
          <w:lang w:val="en-US"/>
        </w:rPr>
        <w:t xml:space="preserve"> Daryl Taggart said “</w:t>
      </w:r>
      <w:r w:rsidR="008E0BCB">
        <w:rPr>
          <w:rFonts w:cstheme="minorHAnsi"/>
          <w:lang w:val="en-US"/>
        </w:rPr>
        <w:t>h</w:t>
      </w:r>
      <w:proofErr w:type="spellStart"/>
      <w:r w:rsidR="008E0BCB" w:rsidRPr="00682321">
        <w:rPr>
          <w:rFonts w:cs="Arial"/>
          <w:szCs w:val="20"/>
        </w:rPr>
        <w:t>aving</w:t>
      </w:r>
      <w:proofErr w:type="spellEnd"/>
      <w:r w:rsidR="008E0BCB" w:rsidRPr="00682321">
        <w:rPr>
          <w:rFonts w:cs="Arial"/>
          <w:szCs w:val="20"/>
        </w:rPr>
        <w:t xml:space="preserve"> come a long way over the past year, Christchurch experienced another vibrant month in July.  There is a strong int</w:t>
      </w:r>
      <w:r w:rsidR="008E0BCB">
        <w:rPr>
          <w:rFonts w:cs="Arial"/>
          <w:szCs w:val="20"/>
        </w:rPr>
        <w:t>e</w:t>
      </w:r>
      <w:r w:rsidR="008E0BCB" w:rsidRPr="00682321">
        <w:rPr>
          <w:rFonts w:cs="Arial"/>
          <w:szCs w:val="20"/>
        </w:rPr>
        <w:t>rest in well priced properties in suburban Christchurch with Selwyn and Waimakariri continuing to lead the way as demand grows.  A shortage of listings does continue h</w:t>
      </w:r>
      <w:r w:rsidR="008E0BCB">
        <w:rPr>
          <w:rFonts w:cs="Arial"/>
          <w:szCs w:val="20"/>
        </w:rPr>
        <w:t>owever, with investors and developers</w:t>
      </w:r>
      <w:r w:rsidR="008E0BCB" w:rsidRPr="00682321">
        <w:rPr>
          <w:rFonts w:cs="Arial"/>
          <w:szCs w:val="20"/>
        </w:rPr>
        <w:t xml:space="preserve"> entering the market spurred by increased returns.”  </w:t>
      </w:r>
    </w:p>
    <w:p w:rsidR="00C82F35" w:rsidRDefault="00C82F35" w:rsidP="007537D5">
      <w:pPr>
        <w:spacing w:after="0" w:line="240" w:lineRule="auto"/>
        <w:rPr>
          <w:rFonts w:asciiTheme="minorHAnsi" w:hAnsiTheme="minorHAnsi" w:cstheme="minorHAnsi"/>
          <w:lang w:val="en-US"/>
        </w:rPr>
      </w:pPr>
    </w:p>
    <w:p w:rsidR="00566A54" w:rsidRPr="000C4DDD" w:rsidRDefault="00566A54" w:rsidP="007537D5">
      <w:pPr>
        <w:spacing w:after="0" w:line="240" w:lineRule="auto"/>
        <w:rPr>
          <w:b/>
        </w:rPr>
      </w:pPr>
      <w:r w:rsidRPr="000C4DDD">
        <w:rPr>
          <w:b/>
        </w:rPr>
        <w:t>Dunedin</w:t>
      </w:r>
    </w:p>
    <w:p w:rsidR="000D740D" w:rsidRDefault="000D740D" w:rsidP="007537D5">
      <w:pPr>
        <w:spacing w:after="0" w:line="240" w:lineRule="auto"/>
      </w:pPr>
      <w:r>
        <w:t xml:space="preserve">Values in Dunedin have </w:t>
      </w:r>
      <w:r w:rsidR="008E0BCB">
        <w:t xml:space="preserve">increased 1.2% in the past three months after dropping slightly at the start of the year. Values are now 3.8% up on the same time last year and </w:t>
      </w:r>
      <w:r>
        <w:t>4.</w:t>
      </w:r>
      <w:r w:rsidR="008E0BCB">
        <w:t>0</w:t>
      </w:r>
      <w:r>
        <w:t>% below the 2007 peak.</w:t>
      </w:r>
    </w:p>
    <w:p w:rsidR="008E0BCB" w:rsidRDefault="008E0BCB" w:rsidP="007537D5">
      <w:pPr>
        <w:spacing w:after="0" w:line="240" w:lineRule="auto"/>
      </w:pPr>
    </w:p>
    <w:p w:rsidR="008E0BCB" w:rsidRPr="00682321" w:rsidRDefault="008E0BCB" w:rsidP="008E0BCB">
      <w:pPr>
        <w:rPr>
          <w:rFonts w:asciiTheme="minorHAnsi" w:hAnsiTheme="minorHAnsi" w:cstheme="minorHAnsi"/>
        </w:rPr>
      </w:pPr>
      <w:r>
        <w:t xml:space="preserve">QV </w:t>
      </w:r>
      <w:proofErr w:type="spellStart"/>
      <w:r>
        <w:t>Valuer</w:t>
      </w:r>
      <w:proofErr w:type="spellEnd"/>
      <w:r>
        <w:t xml:space="preserve"> Tim Gibson said “v</w:t>
      </w:r>
      <w:r w:rsidRPr="00682321">
        <w:rPr>
          <w:rFonts w:asciiTheme="minorHAnsi" w:hAnsiTheme="minorHAnsi" w:cstheme="minorHAnsi"/>
        </w:rPr>
        <w:t xml:space="preserve">alues are being driven by an undersupply of listings, whilst good locality and presentation are </w:t>
      </w:r>
      <w:proofErr w:type="gramStart"/>
      <w:r w:rsidRPr="00682321">
        <w:rPr>
          <w:rFonts w:asciiTheme="minorHAnsi" w:hAnsiTheme="minorHAnsi" w:cstheme="minorHAnsi"/>
        </w:rPr>
        <w:t>key</w:t>
      </w:r>
      <w:proofErr w:type="gramEnd"/>
      <w:r w:rsidRPr="00682321">
        <w:rPr>
          <w:rFonts w:asciiTheme="minorHAnsi" w:hAnsiTheme="minorHAnsi" w:cstheme="minorHAnsi"/>
        </w:rPr>
        <w:t xml:space="preserve"> to properties getting snapped up.  The majority of buyers are owner occupiers although there is still evidence of some investors</w:t>
      </w:r>
      <w:r>
        <w:rPr>
          <w:rFonts w:asciiTheme="minorHAnsi" w:hAnsiTheme="minorHAnsi" w:cstheme="minorHAnsi"/>
        </w:rPr>
        <w:t xml:space="preserve"> in the market</w:t>
      </w:r>
      <w:r w:rsidRPr="00682321">
        <w:rPr>
          <w:rFonts w:asciiTheme="minorHAnsi" w:hAnsiTheme="minorHAnsi" w:cstheme="minorHAnsi"/>
        </w:rPr>
        <w:t>”</w:t>
      </w:r>
      <w:r>
        <w:rPr>
          <w:rFonts w:asciiTheme="minorHAnsi" w:hAnsiTheme="minorHAnsi" w:cstheme="minorHAnsi"/>
        </w:rPr>
        <w:t>.</w:t>
      </w:r>
    </w:p>
    <w:p w:rsidR="00566A54" w:rsidRPr="000C4DDD" w:rsidRDefault="00566A54" w:rsidP="007537D5">
      <w:pPr>
        <w:spacing w:after="0" w:line="240" w:lineRule="auto"/>
        <w:rPr>
          <w:b/>
        </w:rPr>
      </w:pPr>
      <w:r w:rsidRPr="000C4DDD">
        <w:rPr>
          <w:b/>
        </w:rPr>
        <w:t>Provincial centres</w:t>
      </w:r>
    </w:p>
    <w:p w:rsidR="00F21E1C" w:rsidRDefault="00F21E1C" w:rsidP="007537D5">
      <w:pPr>
        <w:spacing w:after="0" w:line="240" w:lineRule="auto"/>
      </w:pPr>
      <w:r>
        <w:t xml:space="preserve">Values in most of the </w:t>
      </w:r>
      <w:r w:rsidR="00512A93">
        <w:t xml:space="preserve">provincial centres </w:t>
      </w:r>
      <w:r w:rsidR="00620BAD">
        <w:t xml:space="preserve">have </w:t>
      </w:r>
      <w:r>
        <w:t>been relatively stable for the past year, with values lying within a 1.5% band.</w:t>
      </w:r>
      <w:r w:rsidR="00B11C1D">
        <w:t xml:space="preserve"> The e</w:t>
      </w:r>
      <w:r w:rsidR="00620BAD">
        <w:t xml:space="preserve">xceptions are </w:t>
      </w:r>
      <w:r>
        <w:t xml:space="preserve">Napier (down 1.7%), Palmerston North (up 2.2%) and Nelson (up 1.9%) although all three have flattened in recent months. </w:t>
      </w:r>
      <w:proofErr w:type="spellStart"/>
      <w:r w:rsidR="00620BAD">
        <w:t>Gisborne</w:t>
      </w:r>
      <w:proofErr w:type="spellEnd"/>
      <w:r w:rsidR="00620BAD">
        <w:t xml:space="preserve"> </w:t>
      </w:r>
      <w:r>
        <w:t>has dropped 4.2% over the past year and is now more than 25% below peak.</w:t>
      </w:r>
    </w:p>
    <w:p w:rsidR="004D57C7" w:rsidRDefault="004D57C7" w:rsidP="00C82F35">
      <w:pPr>
        <w:spacing w:after="0" w:line="240" w:lineRule="auto"/>
        <w:jc w:val="both"/>
        <w:rPr>
          <w:b/>
          <w:bCs/>
          <w:lang w:val="en-GB"/>
        </w:rPr>
      </w:pPr>
    </w:p>
    <w:p w:rsidR="00620BAD" w:rsidRDefault="00620BAD" w:rsidP="00C82F35">
      <w:pPr>
        <w:spacing w:after="0" w:line="240" w:lineRule="auto"/>
        <w:jc w:val="both"/>
        <w:rPr>
          <w:b/>
          <w:bCs/>
          <w:lang w:val="en-GB"/>
        </w:rPr>
      </w:pPr>
    </w:p>
    <w:p w:rsidR="00442230" w:rsidRDefault="00442230" w:rsidP="00C82F35">
      <w:pPr>
        <w:spacing w:after="0" w:line="240" w:lineRule="auto"/>
        <w:jc w:val="both"/>
        <w:rPr>
          <w:b/>
          <w:bCs/>
          <w:lang w:val="en-GB"/>
        </w:rPr>
      </w:pPr>
      <w:r w:rsidRPr="00F53C93">
        <w:rPr>
          <w:b/>
          <w:bCs/>
          <w:lang w:val="en-GB"/>
        </w:rPr>
        <w:t xml:space="preserve">For </w:t>
      </w:r>
      <w:r w:rsidR="0056099F">
        <w:rPr>
          <w:b/>
          <w:bCs/>
          <w:lang w:val="en-GB"/>
        </w:rPr>
        <w:t xml:space="preserve">media enquiries and interview, and for </w:t>
      </w:r>
      <w:r w:rsidRPr="00F53C93">
        <w:rPr>
          <w:b/>
          <w:bCs/>
          <w:lang w:val="en-GB"/>
        </w:rPr>
        <w:t>further information contact:</w:t>
      </w:r>
    </w:p>
    <w:p w:rsidR="007537D5" w:rsidRPr="00F53C93" w:rsidRDefault="004D57C7" w:rsidP="00C82F35">
      <w:pPr>
        <w:spacing w:after="0" w:line="240" w:lineRule="auto"/>
        <w:jc w:val="both"/>
        <w:rPr>
          <w:b/>
          <w:bCs/>
          <w:lang w:val="en-GB"/>
        </w:rPr>
      </w:pPr>
      <w:proofErr w:type="spellStart"/>
      <w:r>
        <w:rPr>
          <w:lang w:val="en-GB"/>
        </w:rPr>
        <w:t>Jonno</w:t>
      </w:r>
      <w:proofErr w:type="spellEnd"/>
      <w:r>
        <w:rPr>
          <w:lang w:val="en-GB"/>
        </w:rPr>
        <w:t xml:space="preserve"> </w:t>
      </w:r>
      <w:proofErr w:type="spellStart"/>
      <w:r>
        <w:rPr>
          <w:lang w:val="en-GB"/>
        </w:rPr>
        <w:t>Ingerson</w:t>
      </w:r>
      <w:proofErr w:type="spellEnd"/>
      <w:r>
        <w:rPr>
          <w:lang w:val="en-GB"/>
        </w:rPr>
        <w:t>. Research Director QV.co.nz</w:t>
      </w:r>
    </w:p>
    <w:p w:rsidR="007537D5" w:rsidRPr="004D57C7" w:rsidRDefault="004D57C7" w:rsidP="007537D5">
      <w:pPr>
        <w:tabs>
          <w:tab w:val="left" w:pos="4820"/>
        </w:tabs>
        <w:spacing w:after="0" w:line="240" w:lineRule="auto"/>
        <w:rPr>
          <w:b/>
        </w:rPr>
      </w:pPr>
      <w:r>
        <w:rPr>
          <w:lang w:val="en-GB"/>
        </w:rPr>
        <w:t>Tel: 04 802 1239</w:t>
      </w:r>
      <w:r w:rsidR="007537D5">
        <w:tab/>
      </w:r>
    </w:p>
    <w:p w:rsidR="007537D5" w:rsidRDefault="004D57C7" w:rsidP="007537D5">
      <w:pPr>
        <w:tabs>
          <w:tab w:val="left" w:pos="4962"/>
        </w:tabs>
        <w:spacing w:after="0" w:line="240" w:lineRule="auto"/>
      </w:pPr>
      <w:r>
        <w:rPr>
          <w:lang w:val="en-GB"/>
        </w:rPr>
        <w:t>Mobile: 027 454 6642</w:t>
      </w:r>
      <w:r w:rsidR="007537D5">
        <w:tab/>
      </w:r>
    </w:p>
    <w:p w:rsidR="007537D5" w:rsidRDefault="004D57C7" w:rsidP="007537D5">
      <w:pPr>
        <w:tabs>
          <w:tab w:val="left" w:pos="4962"/>
        </w:tabs>
        <w:spacing w:after="0" w:line="240" w:lineRule="auto"/>
      </w:pPr>
      <w:r>
        <w:rPr>
          <w:lang w:val="en-GB"/>
        </w:rPr>
        <w:t xml:space="preserve">Email: </w:t>
      </w:r>
      <w:hyperlink r:id="rId6" w:history="1">
        <w:r w:rsidRPr="00C53BBF">
          <w:rPr>
            <w:rStyle w:val="Hyperlink"/>
            <w:lang w:val="en-GB"/>
          </w:rPr>
          <w:t>jonno.ingerson@propertyiq.co.nz</w:t>
        </w:r>
      </w:hyperlink>
      <w:r w:rsidR="007537D5">
        <w:rPr>
          <w:lang w:val="en-GB"/>
        </w:rPr>
        <w:tab/>
      </w:r>
    </w:p>
    <w:p w:rsidR="007537D5" w:rsidRDefault="007537D5" w:rsidP="007537D5">
      <w:pPr>
        <w:tabs>
          <w:tab w:val="left" w:pos="4962"/>
        </w:tabs>
        <w:spacing w:after="0" w:line="240" w:lineRule="auto"/>
      </w:pPr>
      <w:r>
        <w:tab/>
      </w:r>
    </w:p>
    <w:p w:rsidR="00620BAD" w:rsidRDefault="00620BAD" w:rsidP="007537D5">
      <w:pPr>
        <w:tabs>
          <w:tab w:val="left" w:pos="4962"/>
        </w:tabs>
        <w:spacing w:after="0" w:line="240" w:lineRule="auto"/>
        <w:rPr>
          <w:b/>
        </w:rPr>
      </w:pPr>
    </w:p>
    <w:p w:rsidR="007537D5" w:rsidRDefault="004D57C7" w:rsidP="007537D5">
      <w:pPr>
        <w:tabs>
          <w:tab w:val="left" w:pos="4962"/>
        </w:tabs>
        <w:spacing w:after="0" w:line="240" w:lineRule="auto"/>
      </w:pPr>
      <w:r w:rsidRPr="004D57C7">
        <w:rPr>
          <w:b/>
        </w:rPr>
        <w:t>For further specific comment on local areas:</w:t>
      </w:r>
      <w:r w:rsidR="007537D5">
        <w:tab/>
      </w:r>
    </w:p>
    <w:p w:rsidR="007537D5" w:rsidRDefault="004D57C7" w:rsidP="007537D5">
      <w:pPr>
        <w:tabs>
          <w:tab w:val="left" w:pos="4962"/>
        </w:tabs>
        <w:spacing w:after="0" w:line="240" w:lineRule="auto"/>
      </w:pPr>
      <w:r>
        <w:t xml:space="preserve">Auckland. </w:t>
      </w:r>
      <w:r w:rsidR="00F21E1C">
        <w:t xml:space="preserve">Jan </w:t>
      </w:r>
      <w:proofErr w:type="spellStart"/>
      <w:r w:rsidR="00F21E1C">
        <w:t>O’Donohue</w:t>
      </w:r>
      <w:proofErr w:type="spellEnd"/>
      <w:r w:rsidR="00F21E1C">
        <w:t xml:space="preserve"> </w:t>
      </w:r>
      <w:r>
        <w:t>02</w:t>
      </w:r>
      <w:r w:rsidR="00F21E1C">
        <w:t>7</w:t>
      </w:r>
      <w:r>
        <w:t xml:space="preserve"> </w:t>
      </w:r>
      <w:r w:rsidR="00F21E1C">
        <w:t>4977 348</w:t>
      </w:r>
    </w:p>
    <w:p w:rsidR="00885646" w:rsidRDefault="004D57C7" w:rsidP="007537D5">
      <w:pPr>
        <w:tabs>
          <w:tab w:val="left" w:pos="4962"/>
        </w:tabs>
        <w:spacing w:after="0" w:line="240" w:lineRule="auto"/>
      </w:pPr>
      <w:r>
        <w:t>Hamilton. Richard Allen 0272 307 290</w:t>
      </w:r>
      <w:r w:rsidR="007537D5">
        <w:tab/>
      </w:r>
    </w:p>
    <w:p w:rsidR="00885646" w:rsidRDefault="004D57C7" w:rsidP="007537D5">
      <w:pPr>
        <w:tabs>
          <w:tab w:val="left" w:pos="4820"/>
        </w:tabs>
        <w:spacing w:after="0" w:line="240" w:lineRule="auto"/>
      </w:pPr>
      <w:proofErr w:type="gramStart"/>
      <w:r>
        <w:t>Tauranga.</w:t>
      </w:r>
      <w:proofErr w:type="gramEnd"/>
      <w:r>
        <w:t xml:space="preserve"> Paul Thomas 027 544 4602</w:t>
      </w:r>
    </w:p>
    <w:p w:rsidR="004D57C7" w:rsidRDefault="004D57C7" w:rsidP="00C82F35">
      <w:pPr>
        <w:spacing w:after="0" w:line="240" w:lineRule="auto"/>
      </w:pPr>
      <w:r>
        <w:t xml:space="preserve">Wellington. </w:t>
      </w:r>
      <w:r w:rsidR="00620BAD">
        <w:t>Kerry Buckeridge</w:t>
      </w:r>
      <w:r>
        <w:t xml:space="preserve"> </w:t>
      </w:r>
      <w:r w:rsidR="00066E0D">
        <w:t>021 476 287</w:t>
      </w:r>
    </w:p>
    <w:p w:rsidR="004D57C7" w:rsidRDefault="004D57C7" w:rsidP="00C82F35">
      <w:pPr>
        <w:spacing w:after="0" w:line="240" w:lineRule="auto"/>
      </w:pPr>
      <w:r>
        <w:t xml:space="preserve">Christchurch. </w:t>
      </w:r>
      <w:r w:rsidR="00620BAD">
        <w:t>Daryl Taggart</w:t>
      </w:r>
      <w:r>
        <w:t xml:space="preserve"> 02</w:t>
      </w:r>
      <w:r w:rsidR="00620BAD">
        <w:t>7 304 9815</w:t>
      </w:r>
    </w:p>
    <w:p w:rsidR="002421F6" w:rsidRDefault="004D57C7" w:rsidP="00C82F35">
      <w:pPr>
        <w:spacing w:after="0" w:line="240" w:lineRule="auto"/>
      </w:pPr>
      <w:r>
        <w:t>Dunedin. Tim Gibson 021 151 2887</w:t>
      </w:r>
      <w:r w:rsidR="002421F6">
        <w:br w:type="page"/>
      </w:r>
    </w:p>
    <w:tbl>
      <w:tblPr>
        <w:tblW w:w="0" w:type="auto"/>
        <w:tblInd w:w="78" w:type="dxa"/>
        <w:tblLayout w:type="fixed"/>
        <w:tblLook w:val="0000"/>
      </w:tblPr>
      <w:tblGrid>
        <w:gridCol w:w="597"/>
        <w:gridCol w:w="3828"/>
        <w:gridCol w:w="1923"/>
        <w:gridCol w:w="2611"/>
      </w:tblGrid>
      <w:tr w:rsidR="00F21E1C" w:rsidRPr="00F21E1C">
        <w:trPr>
          <w:trHeight w:val="362"/>
        </w:trPr>
        <w:tc>
          <w:tcPr>
            <w:tcW w:w="4425" w:type="dxa"/>
            <w:gridSpan w:val="2"/>
            <w:tcBorders>
              <w:top w:val="single" w:sz="2" w:space="0" w:color="000000"/>
              <w:left w:val="single" w:sz="2" w:space="0" w:color="000000"/>
              <w:bottom w:val="single" w:sz="2" w:space="0" w:color="000000"/>
              <w:right w:val="nil"/>
            </w:tcBorders>
          </w:tcPr>
          <w:p w:rsidR="00F21E1C" w:rsidRPr="00F21E1C" w:rsidRDefault="00F21E1C" w:rsidP="00F21E1C">
            <w:pPr>
              <w:autoSpaceDE w:val="0"/>
              <w:autoSpaceDN w:val="0"/>
              <w:adjustRightInd w:val="0"/>
              <w:spacing w:after="0" w:line="240" w:lineRule="auto"/>
              <w:jc w:val="center"/>
              <w:rPr>
                <w:rFonts w:cs="Calibri"/>
                <w:b/>
                <w:bCs/>
                <w:color w:val="000000"/>
                <w:sz w:val="28"/>
                <w:szCs w:val="28"/>
                <w:lang w:eastAsia="en-NZ"/>
              </w:rPr>
            </w:pPr>
            <w:r w:rsidRPr="00F21E1C">
              <w:rPr>
                <w:rFonts w:cs="Calibri"/>
                <w:b/>
                <w:bCs/>
                <w:color w:val="000000"/>
                <w:sz w:val="28"/>
                <w:szCs w:val="28"/>
                <w:lang w:eastAsia="en-NZ"/>
              </w:rPr>
              <w:lastRenderedPageBreak/>
              <w:t>Residential Property - Monthly price index</w:t>
            </w:r>
          </w:p>
        </w:tc>
        <w:tc>
          <w:tcPr>
            <w:tcW w:w="1923" w:type="dxa"/>
            <w:tcBorders>
              <w:top w:val="single" w:sz="2" w:space="0" w:color="000000"/>
              <w:left w:val="nil"/>
              <w:bottom w:val="single" w:sz="2" w:space="0" w:color="000000"/>
              <w:right w:val="nil"/>
            </w:tcBorders>
          </w:tcPr>
          <w:p w:rsidR="00F21E1C" w:rsidRPr="00F21E1C" w:rsidRDefault="00F21E1C" w:rsidP="00F21E1C">
            <w:pPr>
              <w:autoSpaceDE w:val="0"/>
              <w:autoSpaceDN w:val="0"/>
              <w:adjustRightInd w:val="0"/>
              <w:spacing w:after="0" w:line="240" w:lineRule="auto"/>
              <w:jc w:val="center"/>
              <w:rPr>
                <w:rFonts w:cs="Calibri"/>
                <w:b/>
                <w:bCs/>
                <w:color w:val="000000"/>
                <w:sz w:val="28"/>
                <w:szCs w:val="28"/>
                <w:lang w:eastAsia="en-NZ"/>
              </w:rPr>
            </w:pPr>
          </w:p>
        </w:tc>
        <w:tc>
          <w:tcPr>
            <w:tcW w:w="2611" w:type="dxa"/>
            <w:tcBorders>
              <w:top w:val="single" w:sz="2" w:space="0" w:color="000000"/>
              <w:left w:val="nil"/>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cs="Calibri"/>
                <w:b/>
                <w:bCs/>
                <w:color w:val="000000"/>
                <w:sz w:val="28"/>
                <w:szCs w:val="28"/>
                <w:lang w:eastAsia="en-NZ"/>
              </w:rPr>
            </w:pPr>
          </w:p>
        </w:tc>
      </w:tr>
      <w:tr w:rsidR="00F21E1C" w:rsidRPr="00F21E1C">
        <w:trPr>
          <w:trHeight w:val="305"/>
        </w:trPr>
        <w:tc>
          <w:tcPr>
            <w:tcW w:w="4425" w:type="dxa"/>
            <w:gridSpan w:val="2"/>
            <w:tcBorders>
              <w:top w:val="single" w:sz="2" w:space="0" w:color="000000"/>
              <w:left w:val="single" w:sz="2" w:space="0" w:color="000000"/>
              <w:bottom w:val="single" w:sz="2" w:space="0" w:color="000000"/>
              <w:right w:val="nil"/>
            </w:tcBorders>
          </w:tcPr>
          <w:p w:rsidR="00F21E1C" w:rsidRPr="00F21E1C" w:rsidRDefault="00F21E1C" w:rsidP="00F21E1C">
            <w:pPr>
              <w:autoSpaceDE w:val="0"/>
              <w:autoSpaceDN w:val="0"/>
              <w:adjustRightInd w:val="0"/>
              <w:spacing w:after="0" w:line="240" w:lineRule="auto"/>
              <w:jc w:val="center"/>
              <w:rPr>
                <w:rFonts w:cs="Calibri"/>
                <w:color w:val="000000"/>
                <w:sz w:val="24"/>
                <w:szCs w:val="24"/>
                <w:lang w:eastAsia="en-NZ"/>
              </w:rPr>
            </w:pPr>
            <w:r w:rsidRPr="00F21E1C">
              <w:rPr>
                <w:rFonts w:cs="Calibri"/>
                <w:color w:val="000000"/>
                <w:sz w:val="24"/>
                <w:szCs w:val="24"/>
                <w:lang w:eastAsia="en-NZ"/>
              </w:rPr>
              <w:t>Time period: as at July 2012</w:t>
            </w:r>
          </w:p>
        </w:tc>
        <w:tc>
          <w:tcPr>
            <w:tcW w:w="1923" w:type="dxa"/>
            <w:tcBorders>
              <w:top w:val="single" w:sz="2" w:space="0" w:color="000000"/>
              <w:left w:val="nil"/>
              <w:bottom w:val="single" w:sz="2" w:space="0" w:color="000000"/>
              <w:right w:val="nil"/>
            </w:tcBorders>
          </w:tcPr>
          <w:p w:rsidR="00F21E1C" w:rsidRPr="00F21E1C" w:rsidRDefault="00F21E1C" w:rsidP="00F21E1C">
            <w:pPr>
              <w:autoSpaceDE w:val="0"/>
              <w:autoSpaceDN w:val="0"/>
              <w:adjustRightInd w:val="0"/>
              <w:spacing w:after="0" w:line="240" w:lineRule="auto"/>
              <w:jc w:val="center"/>
              <w:rPr>
                <w:rFonts w:cs="Calibri"/>
                <w:color w:val="000000"/>
                <w:sz w:val="24"/>
                <w:szCs w:val="24"/>
                <w:lang w:eastAsia="en-NZ"/>
              </w:rPr>
            </w:pPr>
          </w:p>
        </w:tc>
        <w:tc>
          <w:tcPr>
            <w:tcW w:w="2611" w:type="dxa"/>
            <w:tcBorders>
              <w:top w:val="single" w:sz="2" w:space="0" w:color="000000"/>
              <w:left w:val="nil"/>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cs="Calibri"/>
                <w:color w:val="000000"/>
                <w:sz w:val="24"/>
                <w:szCs w:val="24"/>
                <w:lang w:eastAsia="en-NZ"/>
              </w:rPr>
            </w:pPr>
          </w:p>
        </w:tc>
      </w:tr>
      <w:tr w:rsidR="00F21E1C" w:rsidRPr="00F21E1C">
        <w:trPr>
          <w:trHeight w:val="245"/>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ascii="Arial" w:hAnsi="Arial" w:cs="Arial"/>
                <w:color w:val="000000"/>
                <w:sz w:val="20"/>
                <w:szCs w:val="2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ascii="Arial" w:hAnsi="Arial" w:cs="Arial"/>
                <w:color w:val="000000"/>
                <w:sz w:val="20"/>
                <w:szCs w:val="20"/>
                <w:lang w:eastAsia="en-NZ"/>
              </w:rPr>
            </w:pP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ascii="Arial" w:hAnsi="Arial" w:cs="Arial"/>
                <w:color w:val="000000"/>
                <w:sz w:val="20"/>
                <w:szCs w:val="20"/>
                <w:lang w:eastAsia="en-NZ"/>
              </w:rPr>
            </w:pP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ascii="Arial" w:hAnsi="Arial" w:cs="Arial"/>
                <w:color w:val="000000"/>
                <w:sz w:val="20"/>
                <w:szCs w:val="20"/>
                <w:lang w:eastAsia="en-NZ"/>
              </w:rPr>
            </w:pPr>
          </w:p>
        </w:tc>
      </w:tr>
      <w:tr w:rsidR="00F21E1C" w:rsidRPr="00F21E1C">
        <w:trPr>
          <w:trHeight w:val="871"/>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cs="Calibri"/>
                <w:b/>
                <w:bCs/>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b/>
                <w:bCs/>
                <w:color w:val="000000"/>
                <w:lang w:eastAsia="en-NZ"/>
              </w:rPr>
            </w:pPr>
            <w:r w:rsidRPr="00F21E1C">
              <w:rPr>
                <w:rFonts w:cs="Calibri"/>
                <w:b/>
                <w:bCs/>
                <w:color w:val="000000"/>
                <w:lang w:eastAsia="en-NZ"/>
              </w:rPr>
              <w:t>Territorial authority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cs="Calibri"/>
                <w:b/>
                <w:bCs/>
                <w:color w:val="000000"/>
                <w:lang w:eastAsia="en-NZ"/>
              </w:rPr>
            </w:pPr>
            <w:r w:rsidRPr="00F21E1C">
              <w:rPr>
                <w:rFonts w:cs="Calibri"/>
                <w:b/>
                <w:bCs/>
                <w:color w:val="000000"/>
                <w:lang w:eastAsia="en-NZ"/>
              </w:rPr>
              <w:t>Average sale price</w:t>
            </w:r>
          </w:p>
          <w:p w:rsidR="00F21E1C" w:rsidRPr="00F21E1C" w:rsidRDefault="00F21E1C" w:rsidP="00F21E1C">
            <w:pPr>
              <w:autoSpaceDE w:val="0"/>
              <w:autoSpaceDN w:val="0"/>
              <w:adjustRightInd w:val="0"/>
              <w:spacing w:after="0" w:line="240" w:lineRule="auto"/>
              <w:jc w:val="center"/>
              <w:rPr>
                <w:rFonts w:cs="Calibri"/>
                <w:b/>
                <w:bCs/>
                <w:color w:val="000000"/>
                <w:lang w:eastAsia="en-NZ"/>
              </w:rPr>
            </w:pPr>
            <w:r w:rsidRPr="00F21E1C">
              <w:rPr>
                <w:rFonts w:cs="Calibri"/>
                <w:b/>
                <w:bCs/>
                <w:color w:val="000000"/>
                <w:lang w:eastAsia="en-NZ"/>
              </w:rPr>
              <w:t>over the past 3 months</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center"/>
              <w:rPr>
                <w:rFonts w:cs="Calibri"/>
                <w:b/>
                <w:bCs/>
                <w:color w:val="000000"/>
                <w:lang w:eastAsia="en-NZ"/>
              </w:rPr>
            </w:pPr>
            <w:r w:rsidRPr="00F21E1C">
              <w:rPr>
                <w:rFonts w:cs="Calibri"/>
                <w:b/>
                <w:bCs/>
                <w:color w:val="000000"/>
                <w:lang w:eastAsia="en-NZ"/>
              </w:rPr>
              <w:t>Property Value Growth</w:t>
            </w:r>
          </w:p>
          <w:p w:rsidR="00F21E1C" w:rsidRPr="00F21E1C" w:rsidRDefault="00F21E1C" w:rsidP="00F21E1C">
            <w:pPr>
              <w:autoSpaceDE w:val="0"/>
              <w:autoSpaceDN w:val="0"/>
              <w:adjustRightInd w:val="0"/>
              <w:spacing w:after="0" w:line="240" w:lineRule="auto"/>
              <w:jc w:val="center"/>
              <w:rPr>
                <w:rFonts w:cs="Calibri"/>
                <w:b/>
                <w:bCs/>
                <w:color w:val="000000"/>
                <w:lang w:eastAsia="en-NZ"/>
              </w:rPr>
            </w:pPr>
            <w:r w:rsidRPr="00F21E1C">
              <w:rPr>
                <w:rFonts w:cs="Calibri"/>
                <w:b/>
                <w:bCs/>
                <w:color w:val="000000"/>
                <w:lang w:eastAsia="en-NZ"/>
              </w:rPr>
              <w:t>Over the past 12 months</w:t>
            </w:r>
          </w:p>
          <w:p w:rsidR="00F21E1C" w:rsidRPr="00F21E1C" w:rsidRDefault="00F21E1C" w:rsidP="00F21E1C">
            <w:pPr>
              <w:autoSpaceDE w:val="0"/>
              <w:autoSpaceDN w:val="0"/>
              <w:adjustRightInd w:val="0"/>
              <w:spacing w:after="0" w:line="240" w:lineRule="auto"/>
              <w:jc w:val="center"/>
              <w:rPr>
                <w:rFonts w:cs="Calibri"/>
                <w:b/>
                <w:bCs/>
                <w:color w:val="000000"/>
                <w:lang w:eastAsia="en-NZ"/>
              </w:rPr>
            </w:pPr>
            <w:r w:rsidRPr="00F21E1C">
              <w:rPr>
                <w:rFonts w:cs="Calibri"/>
                <w:b/>
                <w:bCs/>
                <w:color w:val="000000"/>
                <w:lang w:eastAsia="en-NZ"/>
              </w:rPr>
              <w:t>based on the QV index</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Far North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306,089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Whangarei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302,925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Kaipara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313,380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-11.0%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xml:space="preserve">Auckland </w:t>
            </w:r>
            <w:r w:rsidR="00FB300D">
              <w:rPr>
                <w:rFonts w:cs="Calibri"/>
                <w:color w:val="000000"/>
                <w:lang w:eastAsia="en-NZ"/>
              </w:rPr>
              <w:t>–</w:t>
            </w:r>
            <w:r w:rsidRPr="00F21E1C">
              <w:rPr>
                <w:rFonts w:cs="Calibri"/>
                <w:color w:val="000000"/>
                <w:lang w:eastAsia="en-NZ"/>
              </w:rPr>
              <w:t xml:space="preserve"> Rodney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517,354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Hibiscus Coast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508,590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Rodney (North)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529,557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North Shore</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636,130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Coastal North Shore</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726,808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xml:space="preserve">     North Shore </w:t>
            </w:r>
            <w:proofErr w:type="spellStart"/>
            <w:r w:rsidRPr="00F21E1C">
              <w:rPr>
                <w:rFonts w:cs="Calibri"/>
                <w:color w:val="000000"/>
                <w:lang w:eastAsia="en-NZ"/>
              </w:rPr>
              <w:t>Onewa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504,768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7.8%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North Harbour</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663,674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Waitakere</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428,589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City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656,846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7.1%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Auckland City (Central)</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558,935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9.7%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Auckland City (East)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833,459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Auckland City (South)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592,346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8.4%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Islands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559,191</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-0.9%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Manukau</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488,467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Manukau East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610,985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Manukau Central</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364,092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Manukau North West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438,570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Papakura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387,376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 Franklin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406,489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Thames Coromandel</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435,082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Hauraki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255,900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Waikato</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265,778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-7.0%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Matamata</w:t>
            </w:r>
            <w:proofErr w:type="spellEnd"/>
            <w:r w:rsidRPr="00F21E1C">
              <w:rPr>
                <w:rFonts w:cs="Calibri"/>
                <w:color w:val="000000"/>
                <w:lang w:eastAsia="en-NZ"/>
              </w:rPr>
              <w:t xml:space="preserve"> </w:t>
            </w:r>
            <w:proofErr w:type="spellStart"/>
            <w:r w:rsidRPr="00F21E1C">
              <w:rPr>
                <w:rFonts w:cs="Calibri"/>
                <w:color w:val="000000"/>
                <w:lang w:eastAsia="en-NZ"/>
              </w:rPr>
              <w:t>Piako</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276,922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-0.3%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Hamilton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350,384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Hamilton North East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427,930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Central City/North West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310,232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Hamilton South East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325,096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Hamilton South West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307,654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Waipa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346,784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Otorohanga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South Waikato</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145,490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Waitomo</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Taupo</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347,834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Western BOP</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362,062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-7.3%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Tauranga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401,678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Rotorua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288,428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Whakatane</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337,477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Kawerau</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Opotiki</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Gisborne</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233,872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Wairoa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Hastings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313,869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Napier</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331,759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xml:space="preserve">Central </w:t>
            </w:r>
            <w:proofErr w:type="spellStart"/>
            <w:r w:rsidRPr="00F21E1C">
              <w:rPr>
                <w:rFonts w:cs="Calibri"/>
                <w:color w:val="000000"/>
                <w:lang w:eastAsia="en-NZ"/>
              </w:rPr>
              <w:t>Hawkes</w:t>
            </w:r>
            <w:proofErr w:type="spellEnd"/>
            <w:r w:rsidRPr="00F21E1C">
              <w:rPr>
                <w:rFonts w:cs="Calibri"/>
                <w:color w:val="000000"/>
                <w:lang w:eastAsia="en-NZ"/>
              </w:rPr>
              <w:t xml:space="preserve"> Bay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223,381</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0.3%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New Plymouth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324,494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Stratford</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195,225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South Taranaki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223,065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Ruapehu</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176,117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-11.6%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Wanganui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215,616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Rangitikei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185,097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-5.1%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Manawatu</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254,138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Palmerston North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292,511</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Tararua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162,013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-6.2%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Horowhenua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189,279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Kapiti</w:t>
            </w:r>
            <w:proofErr w:type="spellEnd"/>
            <w:r w:rsidRPr="00F21E1C">
              <w:rPr>
                <w:rFonts w:cs="Calibri"/>
                <w:color w:val="000000"/>
                <w:lang w:eastAsia="en-NZ"/>
              </w:rPr>
              <w:t xml:space="preserve"> Coast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347,195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Porirua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402,015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Upper Hutt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353,503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Hutt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370,590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Wellington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512,580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2.4%</w:t>
            </w:r>
          </w:p>
        </w:tc>
      </w:tr>
      <w:tr w:rsidR="00F21E1C" w:rsidRPr="00F21E1C">
        <w:trPr>
          <w:trHeight w:val="245"/>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Wellington City &amp; Southern Suburbs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528,330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Eastern Suburbs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555,409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North Wellington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452,622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Western Suburbs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568,314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Masterton</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234,358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Carterton</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248,225</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6.1%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xml:space="preserve">South </w:t>
            </w:r>
            <w:proofErr w:type="spellStart"/>
            <w:r w:rsidRPr="00F21E1C">
              <w:rPr>
                <w:rFonts w:cs="Calibri"/>
                <w:color w:val="000000"/>
                <w:lang w:eastAsia="en-NZ"/>
              </w:rPr>
              <w:t>Wairarapa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311,649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Tasman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370,504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Nelson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367,092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Marlborough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338,536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Kaikoura</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r w:rsidRPr="00F21E1C">
              <w:rPr>
                <w:rFonts w:ascii="Arial" w:hAnsi="Arial" w:cs="Arial"/>
                <w:color w:val="000000"/>
                <w:sz w:val="20"/>
                <w:szCs w:val="20"/>
                <w:lang w:eastAsia="en-NZ"/>
              </w:rPr>
              <w:t>N/A</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Buller</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205,192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12.4%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Grey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235,554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-0.8%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Westland</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228,988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Hurunui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306,643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7.7%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Waimakariri</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369,669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13.9%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Christchurch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385,564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East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303,900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5.9%</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Hills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517,388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Central City and North</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435,143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Southwest</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372,898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9.1%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Banks Peninsula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399,814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3.7%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Selwyn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436,957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13.0%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Ashburton</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280,960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6.7%</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Timaru</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251,630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5.6%</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MacKenzie</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267,556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Waimate</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176,773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4.4%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proofErr w:type="spellStart"/>
            <w:r w:rsidRPr="00F21E1C">
              <w:rPr>
                <w:rFonts w:cs="Calibri"/>
                <w:color w:val="000000"/>
                <w:lang w:eastAsia="en-NZ"/>
              </w:rPr>
              <w:t>Waitaki</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214,774</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xml:space="preserve">Central </w:t>
            </w:r>
            <w:proofErr w:type="spellStart"/>
            <w:r w:rsidRPr="00F21E1C">
              <w:rPr>
                <w:rFonts w:cs="Calibri"/>
                <w:color w:val="000000"/>
                <w:lang w:eastAsia="en-NZ"/>
              </w:rPr>
              <w:t>Otago</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295,763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Queenstown Lakes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562,912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0.1%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Dunedin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276,930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Central/Northern City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290,263</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2.5%</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Peninsula/Coastal Dunedin</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229,572</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5.0%</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Southern City</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272,791</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     </w:t>
            </w:r>
            <w:proofErr w:type="spellStart"/>
            <w:r w:rsidRPr="00F21E1C">
              <w:rPr>
                <w:rFonts w:cs="Calibri"/>
                <w:color w:val="000000"/>
                <w:lang w:eastAsia="en-NZ"/>
              </w:rPr>
              <w:t>Taieri</w:t>
            </w:r>
            <w:proofErr w:type="spellEnd"/>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282,661</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Clutha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175,777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i/>
                <w:iCs/>
                <w:color w:val="000000"/>
                <w:lang w:eastAsia="en-NZ"/>
              </w:rPr>
            </w:pPr>
            <w:r w:rsidRPr="00F21E1C">
              <w:rPr>
                <w:rFonts w:cs="Calibri"/>
                <w:i/>
                <w:iCs/>
                <w:color w:val="000000"/>
                <w:lang w:eastAsia="en-NZ"/>
              </w:rPr>
              <w:t>2.2%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Southland</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205,470</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3.8%</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Gore</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195,438</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5.4%</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Invercargill</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219,359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1.2%</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Auckland Area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566,329</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6.3%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Wellington Area</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446,437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2.1%</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w:t>
            </w: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color w:val="000000"/>
                <w:lang w:eastAsia="en-NZ"/>
              </w:rPr>
            </w:pPr>
            <w:r w:rsidRPr="00F21E1C">
              <w:rPr>
                <w:rFonts w:cs="Calibri"/>
                <w:color w:val="000000"/>
                <w:lang w:eastAsia="en-NZ"/>
              </w:rPr>
              <w:t>Main Urban Areas</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470,446</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r w:rsidRPr="00F21E1C">
              <w:rPr>
                <w:rFonts w:cs="Calibri"/>
                <w:color w:val="000000"/>
                <w:lang w:eastAsia="en-NZ"/>
              </w:rPr>
              <w:t>5.3%</w:t>
            </w:r>
          </w:p>
        </w:tc>
      </w:tr>
      <w:tr w:rsidR="00F21E1C" w:rsidRPr="00F21E1C">
        <w:trPr>
          <w:trHeight w:val="290"/>
        </w:trPr>
        <w:tc>
          <w:tcPr>
            <w:tcW w:w="597"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color w:val="000000"/>
                <w:lang w:eastAsia="en-NZ"/>
              </w:rPr>
            </w:pPr>
          </w:p>
        </w:tc>
        <w:tc>
          <w:tcPr>
            <w:tcW w:w="3828"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cs="Calibri"/>
                <w:b/>
                <w:bCs/>
                <w:color w:val="000000"/>
                <w:lang w:eastAsia="en-NZ"/>
              </w:rPr>
            </w:pPr>
            <w:r w:rsidRPr="00F21E1C">
              <w:rPr>
                <w:rFonts w:cs="Calibri"/>
                <w:b/>
                <w:bCs/>
                <w:color w:val="000000"/>
                <w:lang w:eastAsia="en-NZ"/>
              </w:rPr>
              <w:t>Total NZ</w:t>
            </w:r>
          </w:p>
        </w:tc>
        <w:tc>
          <w:tcPr>
            <w:tcW w:w="1923"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b/>
                <w:bCs/>
                <w:color w:val="000000"/>
                <w:lang w:eastAsia="en-NZ"/>
              </w:rPr>
            </w:pPr>
            <w:r w:rsidRPr="00F21E1C">
              <w:rPr>
                <w:rFonts w:cs="Calibri"/>
                <w:b/>
                <w:bCs/>
                <w:color w:val="000000"/>
                <w:lang w:eastAsia="en-NZ"/>
              </w:rPr>
              <w:t>423,667</w:t>
            </w:r>
          </w:p>
        </w:tc>
        <w:tc>
          <w:tcPr>
            <w:tcW w:w="2611" w:type="dxa"/>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cs="Calibri"/>
                <w:b/>
                <w:bCs/>
                <w:color w:val="000000"/>
                <w:lang w:eastAsia="en-NZ"/>
              </w:rPr>
            </w:pPr>
            <w:r w:rsidRPr="00F21E1C">
              <w:rPr>
                <w:rFonts w:cs="Calibri"/>
                <w:b/>
                <w:bCs/>
                <w:color w:val="000000"/>
                <w:lang w:eastAsia="en-NZ"/>
              </w:rPr>
              <w:t>4.6%</w:t>
            </w:r>
          </w:p>
        </w:tc>
      </w:tr>
      <w:tr w:rsidR="00F21E1C" w:rsidRPr="00F21E1C">
        <w:trPr>
          <w:trHeight w:val="245"/>
        </w:trPr>
        <w:tc>
          <w:tcPr>
            <w:tcW w:w="597" w:type="dxa"/>
            <w:tcBorders>
              <w:top w:val="single" w:sz="2" w:space="0" w:color="000000"/>
              <w:left w:val="single" w:sz="2" w:space="0" w:color="000000"/>
              <w:bottom w:val="single" w:sz="2" w:space="0" w:color="000000"/>
              <w:right w:val="nil"/>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p>
        </w:tc>
        <w:tc>
          <w:tcPr>
            <w:tcW w:w="3828" w:type="dxa"/>
            <w:tcBorders>
              <w:top w:val="single" w:sz="2" w:space="0" w:color="000000"/>
              <w:left w:val="nil"/>
              <w:bottom w:val="single" w:sz="2" w:space="0" w:color="000000"/>
              <w:right w:val="nil"/>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p>
        </w:tc>
        <w:tc>
          <w:tcPr>
            <w:tcW w:w="1923" w:type="dxa"/>
            <w:tcBorders>
              <w:top w:val="single" w:sz="2" w:space="0" w:color="000000"/>
              <w:left w:val="nil"/>
              <w:bottom w:val="single" w:sz="2" w:space="0" w:color="000000"/>
              <w:right w:val="nil"/>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p>
        </w:tc>
        <w:tc>
          <w:tcPr>
            <w:tcW w:w="2611" w:type="dxa"/>
            <w:tcBorders>
              <w:top w:val="single" w:sz="2" w:space="0" w:color="000000"/>
              <w:left w:val="nil"/>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jc w:val="right"/>
              <w:rPr>
                <w:rFonts w:ascii="Arial" w:hAnsi="Arial" w:cs="Arial"/>
                <w:color w:val="000000"/>
                <w:sz w:val="20"/>
                <w:szCs w:val="20"/>
                <w:lang w:eastAsia="en-NZ"/>
              </w:rPr>
            </w:pPr>
          </w:p>
        </w:tc>
      </w:tr>
      <w:tr w:rsidR="00F21E1C" w:rsidRPr="00F21E1C">
        <w:trPr>
          <w:trHeight w:val="245"/>
        </w:trPr>
        <w:tc>
          <w:tcPr>
            <w:tcW w:w="4425" w:type="dxa"/>
            <w:gridSpan w:val="2"/>
            <w:tcBorders>
              <w:top w:val="single" w:sz="2" w:space="0" w:color="000000"/>
              <w:left w:val="single" w:sz="2" w:space="0" w:color="000000"/>
              <w:bottom w:val="single" w:sz="2" w:space="0" w:color="000000"/>
              <w:right w:val="nil"/>
            </w:tcBorders>
          </w:tcPr>
          <w:p w:rsidR="00F21E1C" w:rsidRPr="00F21E1C" w:rsidRDefault="00F21E1C" w:rsidP="00F21E1C">
            <w:pPr>
              <w:autoSpaceDE w:val="0"/>
              <w:autoSpaceDN w:val="0"/>
              <w:adjustRightInd w:val="0"/>
              <w:spacing w:after="0" w:line="240" w:lineRule="auto"/>
              <w:rPr>
                <w:rFonts w:ascii="Arial" w:hAnsi="Arial" w:cs="Arial"/>
                <w:b/>
                <w:bCs/>
                <w:color w:val="000000"/>
                <w:sz w:val="20"/>
                <w:szCs w:val="20"/>
                <w:lang w:eastAsia="en-NZ"/>
              </w:rPr>
            </w:pPr>
            <w:r w:rsidRPr="00F21E1C">
              <w:rPr>
                <w:rFonts w:ascii="Arial" w:hAnsi="Arial" w:cs="Arial"/>
                <w:b/>
                <w:bCs/>
                <w:color w:val="000000"/>
                <w:sz w:val="20"/>
                <w:szCs w:val="20"/>
                <w:lang w:eastAsia="en-NZ"/>
              </w:rPr>
              <w:t>Notes on the above data:</w:t>
            </w:r>
          </w:p>
        </w:tc>
        <w:tc>
          <w:tcPr>
            <w:tcW w:w="1923" w:type="dxa"/>
            <w:tcBorders>
              <w:top w:val="single" w:sz="2" w:space="0" w:color="000000"/>
              <w:left w:val="nil"/>
              <w:bottom w:val="single" w:sz="2" w:space="0" w:color="000000"/>
              <w:right w:val="nil"/>
            </w:tcBorders>
          </w:tcPr>
          <w:p w:rsidR="00F21E1C" w:rsidRPr="00F21E1C" w:rsidRDefault="00F21E1C" w:rsidP="00F21E1C">
            <w:pPr>
              <w:autoSpaceDE w:val="0"/>
              <w:autoSpaceDN w:val="0"/>
              <w:adjustRightInd w:val="0"/>
              <w:spacing w:after="0" w:line="240" w:lineRule="auto"/>
              <w:rPr>
                <w:rFonts w:ascii="Arial" w:hAnsi="Arial" w:cs="Arial"/>
                <w:b/>
                <w:bCs/>
                <w:color w:val="000000"/>
                <w:sz w:val="20"/>
                <w:szCs w:val="20"/>
                <w:lang w:eastAsia="en-NZ"/>
              </w:rPr>
            </w:pPr>
          </w:p>
        </w:tc>
        <w:tc>
          <w:tcPr>
            <w:tcW w:w="2611" w:type="dxa"/>
            <w:tcBorders>
              <w:top w:val="single" w:sz="2" w:space="0" w:color="000000"/>
              <w:left w:val="nil"/>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ascii="Arial" w:hAnsi="Arial" w:cs="Arial"/>
                <w:b/>
                <w:bCs/>
                <w:color w:val="000000"/>
                <w:sz w:val="20"/>
                <w:szCs w:val="20"/>
                <w:lang w:eastAsia="en-NZ"/>
              </w:rPr>
            </w:pPr>
          </w:p>
        </w:tc>
      </w:tr>
      <w:tr w:rsidR="00F21E1C" w:rsidRPr="00F21E1C">
        <w:trPr>
          <w:trHeight w:val="797"/>
        </w:trPr>
        <w:tc>
          <w:tcPr>
            <w:tcW w:w="8959" w:type="dxa"/>
            <w:gridSpan w:val="4"/>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ascii="Arial" w:hAnsi="Arial" w:cs="Arial"/>
                <w:color w:val="000000"/>
                <w:sz w:val="20"/>
                <w:szCs w:val="20"/>
                <w:lang w:eastAsia="en-NZ"/>
              </w:rPr>
            </w:pPr>
            <w:r w:rsidRPr="00F21E1C">
              <w:rPr>
                <w:rFonts w:ascii="Arial" w:hAnsi="Arial" w:cs="Arial"/>
                <w:color w:val="000000"/>
                <w:sz w:val="20"/>
                <w:szCs w:val="20"/>
                <w:lang w:eastAsia="en-NZ"/>
              </w:rPr>
              <w:t>1. The information included in the above table is calculated based on the sales data entered into QV's system for the previous 3 month period. For example, information for the period ending June will be calculated based on sales entered between April 1 and June 30.</w:t>
            </w:r>
          </w:p>
        </w:tc>
      </w:tr>
      <w:tr w:rsidR="00F21E1C" w:rsidRPr="00F21E1C">
        <w:trPr>
          <w:trHeight w:val="1277"/>
        </w:trPr>
        <w:tc>
          <w:tcPr>
            <w:tcW w:w="8959" w:type="dxa"/>
            <w:gridSpan w:val="4"/>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ascii="Arial" w:hAnsi="Arial" w:cs="Arial"/>
                <w:color w:val="000000"/>
                <w:sz w:val="20"/>
                <w:szCs w:val="20"/>
                <w:lang w:eastAsia="en-NZ"/>
              </w:rPr>
            </w:pPr>
            <w:r w:rsidRPr="00F21E1C">
              <w:rPr>
                <w:rFonts w:ascii="Arial" w:hAnsi="Arial" w:cs="Arial"/>
                <w:color w:val="000000"/>
                <w:sz w:val="20"/>
                <w:szCs w:val="20"/>
                <w:lang w:eastAsia="en-NZ"/>
              </w:rPr>
              <w:t>2. Property Value Growth is the annual % change in residential property values, calculated using QV's House Price Index methodology. The residential sales entered into QV's system for previous 3 month period are compared to the same period of the previous year to identify the annual % change in residential property values. Average Sale Prices are calculated based on residential sales entered into QV's system for the previous 3 month period.</w:t>
            </w:r>
          </w:p>
        </w:tc>
      </w:tr>
      <w:tr w:rsidR="00F21E1C" w:rsidRPr="00F21E1C">
        <w:trPr>
          <w:trHeight w:val="914"/>
        </w:trPr>
        <w:tc>
          <w:tcPr>
            <w:tcW w:w="8959" w:type="dxa"/>
            <w:gridSpan w:val="4"/>
            <w:tcBorders>
              <w:top w:val="single" w:sz="2" w:space="0" w:color="000000"/>
              <w:left w:val="single" w:sz="2" w:space="0" w:color="000000"/>
              <w:bottom w:val="single" w:sz="2" w:space="0" w:color="000000"/>
              <w:right w:val="single" w:sz="2" w:space="0" w:color="000000"/>
            </w:tcBorders>
          </w:tcPr>
          <w:p w:rsidR="00F21E1C" w:rsidRPr="00F21E1C" w:rsidRDefault="00F21E1C" w:rsidP="00F21E1C">
            <w:pPr>
              <w:autoSpaceDE w:val="0"/>
              <w:autoSpaceDN w:val="0"/>
              <w:adjustRightInd w:val="0"/>
              <w:spacing w:after="0" w:line="240" w:lineRule="auto"/>
              <w:rPr>
                <w:rFonts w:ascii="Arial" w:hAnsi="Arial" w:cs="Arial"/>
                <w:color w:val="000000"/>
                <w:sz w:val="20"/>
                <w:szCs w:val="20"/>
                <w:lang w:eastAsia="en-NZ"/>
              </w:rPr>
            </w:pPr>
            <w:r w:rsidRPr="00F21E1C">
              <w:rPr>
                <w:rFonts w:ascii="Arial" w:hAnsi="Arial" w:cs="Arial"/>
                <w:color w:val="000000"/>
                <w:sz w:val="20"/>
                <w:szCs w:val="20"/>
                <w:lang w:eastAsia="en-NZ"/>
              </w:rPr>
              <w:t>3. Any of the statistical data shown in italics are calculated based on a sample set of data that is less than the recommended minimum. These results should be used with caution. Those showing N/A had too few sales to generate an index</w:t>
            </w:r>
          </w:p>
        </w:tc>
      </w:tr>
    </w:tbl>
    <w:p w:rsidR="00D835D5" w:rsidRDefault="00D835D5">
      <w:pPr>
        <w:spacing w:after="0" w:line="240" w:lineRule="auto"/>
      </w:pPr>
    </w:p>
    <w:p w:rsidR="00D6273C" w:rsidRDefault="00D6273C">
      <w:pPr>
        <w:spacing w:after="0" w:line="240" w:lineRule="auto"/>
        <w:sectPr w:rsidR="00D6273C">
          <w:pgSz w:w="11906" w:h="16838"/>
          <w:pgMar w:top="1440" w:right="1440" w:bottom="1440" w:left="1440" w:header="709" w:footer="709" w:gutter="0"/>
          <w:cols w:space="708"/>
          <w:docGrid w:linePitch="360"/>
        </w:sectPr>
      </w:pPr>
    </w:p>
    <w:p w:rsidR="00EC5115" w:rsidRDefault="004F2318">
      <w:pPr>
        <w:spacing w:after="0" w:line="240" w:lineRule="auto"/>
      </w:pPr>
      <w:r>
        <w:rPr>
          <w:noProof/>
          <w:lang w:val="en-US"/>
        </w:rPr>
        <w:lastRenderedPageBreak/>
        <w:drawing>
          <wp:anchor distT="0" distB="0" distL="114300" distR="114300" simplePos="0" relativeHeight="251685888" behindDoc="1" locked="0" layoutInCell="1" allowOverlap="1">
            <wp:simplePos x="0" y="0"/>
            <wp:positionH relativeFrom="column">
              <wp:posOffset>19050</wp:posOffset>
            </wp:positionH>
            <wp:positionV relativeFrom="paragraph">
              <wp:posOffset>0</wp:posOffset>
            </wp:positionV>
            <wp:extent cx="3176905" cy="2876550"/>
            <wp:effectExtent l="19050" t="0" r="4445" b="0"/>
            <wp:wrapTight wrapText="bothSides">
              <wp:wrapPolygon edited="0">
                <wp:start x="-130" y="0"/>
                <wp:lineTo x="-130" y="21457"/>
                <wp:lineTo x="21630" y="21457"/>
                <wp:lineTo x="21630" y="0"/>
                <wp:lineTo x="-13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176905" cy="2876550"/>
                    </a:xfrm>
                    <a:prstGeom prst="rect">
                      <a:avLst/>
                    </a:prstGeom>
                    <a:noFill/>
                  </pic:spPr>
                </pic:pic>
              </a:graphicData>
            </a:graphic>
          </wp:anchor>
        </w:drawing>
      </w:r>
      <w:r>
        <w:rPr>
          <w:noProof/>
          <w:lang w:val="en-US"/>
        </w:rPr>
        <w:drawing>
          <wp:anchor distT="0" distB="0" distL="114300" distR="114300" simplePos="0" relativeHeight="251686912" behindDoc="1" locked="0" layoutInCell="1" allowOverlap="1">
            <wp:simplePos x="0" y="0"/>
            <wp:positionH relativeFrom="column">
              <wp:posOffset>3333750</wp:posOffset>
            </wp:positionH>
            <wp:positionV relativeFrom="paragraph">
              <wp:posOffset>0</wp:posOffset>
            </wp:positionV>
            <wp:extent cx="3176905" cy="2876550"/>
            <wp:effectExtent l="19050" t="0" r="4445" b="0"/>
            <wp:wrapTight wrapText="bothSides">
              <wp:wrapPolygon edited="0">
                <wp:start x="-130" y="0"/>
                <wp:lineTo x="-130" y="21457"/>
                <wp:lineTo x="21630" y="21457"/>
                <wp:lineTo x="21630" y="0"/>
                <wp:lineTo x="-13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176905" cy="2876550"/>
                    </a:xfrm>
                    <a:prstGeom prst="rect">
                      <a:avLst/>
                    </a:prstGeom>
                    <a:noFill/>
                  </pic:spPr>
                </pic:pic>
              </a:graphicData>
            </a:graphic>
          </wp:anchor>
        </w:drawing>
      </w:r>
    </w:p>
    <w:p w:rsidR="006323EA" w:rsidRDefault="006323EA" w:rsidP="00092AE6">
      <w:pPr>
        <w:spacing w:after="0"/>
      </w:pPr>
    </w:p>
    <w:p w:rsidR="006323EA" w:rsidRDefault="006323EA">
      <w:pPr>
        <w:spacing w:after="0" w:line="240" w:lineRule="auto"/>
      </w:pPr>
    </w:p>
    <w:p w:rsidR="006323EA" w:rsidRDefault="006323EA" w:rsidP="00092AE6">
      <w:pPr>
        <w:spacing w:after="0"/>
        <w:rPr>
          <w:noProof/>
          <w:lang w:eastAsia="en-NZ"/>
        </w:rPr>
      </w:pPr>
    </w:p>
    <w:p w:rsidR="006323EA" w:rsidRDefault="006323EA" w:rsidP="00092AE6">
      <w:pPr>
        <w:spacing w:after="0"/>
        <w:rPr>
          <w:noProof/>
          <w:lang w:eastAsia="en-NZ"/>
        </w:rPr>
      </w:pPr>
    </w:p>
    <w:p w:rsidR="006323EA" w:rsidRDefault="006323EA" w:rsidP="00092AE6">
      <w:pPr>
        <w:spacing w:after="0"/>
      </w:pPr>
    </w:p>
    <w:p w:rsidR="000D3918" w:rsidRDefault="000D3918">
      <w:pPr>
        <w:spacing w:after="0" w:line="240" w:lineRule="auto"/>
      </w:pPr>
    </w:p>
    <w:p w:rsidR="0067015E" w:rsidRDefault="0067015E">
      <w:pPr>
        <w:spacing w:after="0" w:line="240" w:lineRule="auto"/>
      </w:pPr>
    </w:p>
    <w:p w:rsidR="006323EA" w:rsidRDefault="004F2318">
      <w:pPr>
        <w:spacing w:after="0" w:line="240" w:lineRule="auto"/>
      </w:pPr>
      <w:r>
        <w:rPr>
          <w:noProof/>
          <w:lang w:val="en-US"/>
        </w:rPr>
        <w:drawing>
          <wp:anchor distT="0" distB="0" distL="114300" distR="114300" simplePos="0" relativeHeight="251688960" behindDoc="1" locked="0" layoutInCell="1" allowOverlap="1">
            <wp:simplePos x="0" y="0"/>
            <wp:positionH relativeFrom="column">
              <wp:posOffset>-3295015</wp:posOffset>
            </wp:positionH>
            <wp:positionV relativeFrom="paragraph">
              <wp:posOffset>1485900</wp:posOffset>
            </wp:positionV>
            <wp:extent cx="3176270" cy="2876550"/>
            <wp:effectExtent l="19050" t="0" r="5080" b="0"/>
            <wp:wrapTight wrapText="bothSides">
              <wp:wrapPolygon edited="0">
                <wp:start x="-130" y="0"/>
                <wp:lineTo x="-130" y="21457"/>
                <wp:lineTo x="21635" y="21457"/>
                <wp:lineTo x="21635" y="0"/>
                <wp:lineTo x="-13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176270" cy="2876550"/>
                    </a:xfrm>
                    <a:prstGeom prst="rect">
                      <a:avLst/>
                    </a:prstGeom>
                    <a:noFill/>
                  </pic:spPr>
                </pic:pic>
              </a:graphicData>
            </a:graphic>
          </wp:anchor>
        </w:drawing>
      </w:r>
      <w:r>
        <w:rPr>
          <w:noProof/>
          <w:lang w:val="en-US"/>
        </w:rPr>
        <w:drawing>
          <wp:anchor distT="0" distB="0" distL="114300" distR="114300" simplePos="0" relativeHeight="251687936" behindDoc="1" locked="0" layoutInCell="1" allowOverlap="1">
            <wp:simplePos x="0" y="0"/>
            <wp:positionH relativeFrom="column">
              <wp:posOffset>-6657340</wp:posOffset>
            </wp:positionH>
            <wp:positionV relativeFrom="paragraph">
              <wp:posOffset>1485900</wp:posOffset>
            </wp:positionV>
            <wp:extent cx="3176905" cy="2876550"/>
            <wp:effectExtent l="19050" t="0" r="4445" b="0"/>
            <wp:wrapTight wrapText="bothSides">
              <wp:wrapPolygon edited="0">
                <wp:start x="-130" y="0"/>
                <wp:lineTo x="-130" y="21457"/>
                <wp:lineTo x="21630" y="21457"/>
                <wp:lineTo x="21630" y="0"/>
                <wp:lineTo x="-13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176905" cy="2876550"/>
                    </a:xfrm>
                    <a:prstGeom prst="rect">
                      <a:avLst/>
                    </a:prstGeom>
                    <a:noFill/>
                  </pic:spPr>
                </pic:pic>
              </a:graphicData>
            </a:graphic>
          </wp:anchor>
        </w:drawing>
      </w:r>
      <w:r w:rsidR="006323EA">
        <w:br w:type="page"/>
      </w:r>
    </w:p>
    <w:p w:rsidR="003C4A77" w:rsidRDefault="004F2318" w:rsidP="00092AE6">
      <w:pPr>
        <w:spacing w:after="0"/>
      </w:pPr>
      <w:r>
        <w:rPr>
          <w:noProof/>
          <w:lang w:val="en-US"/>
        </w:rPr>
        <w:lastRenderedPageBreak/>
        <w:drawing>
          <wp:anchor distT="0" distB="0" distL="114300" distR="114300" simplePos="0" relativeHeight="251691008" behindDoc="1" locked="0" layoutInCell="1" allowOverlap="1">
            <wp:simplePos x="0" y="0"/>
            <wp:positionH relativeFrom="column">
              <wp:posOffset>3333750</wp:posOffset>
            </wp:positionH>
            <wp:positionV relativeFrom="paragraph">
              <wp:posOffset>0</wp:posOffset>
            </wp:positionV>
            <wp:extent cx="3169920" cy="2879725"/>
            <wp:effectExtent l="19050" t="0" r="0" b="0"/>
            <wp:wrapTight wrapText="bothSides">
              <wp:wrapPolygon edited="0">
                <wp:start x="-130" y="0"/>
                <wp:lineTo x="-130" y="21433"/>
                <wp:lineTo x="21548" y="21433"/>
                <wp:lineTo x="21548" y="0"/>
                <wp:lineTo x="-130" y="0"/>
              </wp:wrapPolygon>
            </wp:wrapTight>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169920" cy="2879725"/>
                    </a:xfrm>
                    <a:prstGeom prst="rect">
                      <a:avLst/>
                    </a:prstGeom>
                    <a:noFill/>
                  </pic:spPr>
                </pic:pic>
              </a:graphicData>
            </a:graphic>
          </wp:anchor>
        </w:drawing>
      </w:r>
      <w:r>
        <w:rPr>
          <w:noProof/>
          <w:lang w:val="en-US"/>
        </w:rPr>
        <w:drawing>
          <wp:anchor distT="0" distB="0" distL="114300" distR="114300" simplePos="0" relativeHeight="251689984" behindDoc="1" locked="0" layoutInCell="1" allowOverlap="1">
            <wp:simplePos x="0" y="0"/>
            <wp:positionH relativeFrom="column">
              <wp:posOffset>19050</wp:posOffset>
            </wp:positionH>
            <wp:positionV relativeFrom="paragraph">
              <wp:posOffset>0</wp:posOffset>
            </wp:positionV>
            <wp:extent cx="3176905" cy="2876550"/>
            <wp:effectExtent l="19050" t="0" r="4445" b="0"/>
            <wp:wrapTight wrapText="bothSides">
              <wp:wrapPolygon edited="0">
                <wp:start x="-130" y="0"/>
                <wp:lineTo x="-130" y="21457"/>
                <wp:lineTo x="21630" y="21457"/>
                <wp:lineTo x="21630" y="0"/>
                <wp:lineTo x="-130" y="0"/>
              </wp:wrapPolygon>
            </wp:wrapTight>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176905" cy="2876550"/>
                    </a:xfrm>
                    <a:prstGeom prst="rect">
                      <a:avLst/>
                    </a:prstGeom>
                    <a:noFill/>
                  </pic:spPr>
                </pic:pic>
              </a:graphicData>
            </a:graphic>
          </wp:anchor>
        </w:drawing>
      </w:r>
    </w:p>
    <w:p w:rsidR="00442230" w:rsidRDefault="00442230" w:rsidP="00092AE6">
      <w:pPr>
        <w:spacing w:after="0"/>
      </w:pPr>
    </w:p>
    <w:sectPr w:rsidR="00442230" w:rsidSect="00D6273C">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275"/>
    <w:multiLevelType w:val="hybridMultilevel"/>
    <w:tmpl w:val="CD4092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614164"/>
    <w:multiLevelType w:val="hybridMultilevel"/>
    <w:tmpl w:val="A8AC4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90F29E6"/>
    <w:multiLevelType w:val="hybridMultilevel"/>
    <w:tmpl w:val="3CBC87D2"/>
    <w:lvl w:ilvl="0" w:tplc="74D46CD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2D4221"/>
    <w:rsid w:val="00005B6D"/>
    <w:rsid w:val="00007F9D"/>
    <w:rsid w:val="00014DD5"/>
    <w:rsid w:val="00016FEE"/>
    <w:rsid w:val="00027B27"/>
    <w:rsid w:val="00031B27"/>
    <w:rsid w:val="00035914"/>
    <w:rsid w:val="000507BC"/>
    <w:rsid w:val="000534A3"/>
    <w:rsid w:val="0006250A"/>
    <w:rsid w:val="00066E0D"/>
    <w:rsid w:val="00075034"/>
    <w:rsid w:val="00081156"/>
    <w:rsid w:val="00086027"/>
    <w:rsid w:val="00092AE6"/>
    <w:rsid w:val="000A697D"/>
    <w:rsid w:val="000A774B"/>
    <w:rsid w:val="000B6462"/>
    <w:rsid w:val="000C4DDD"/>
    <w:rsid w:val="000D3918"/>
    <w:rsid w:val="000D740D"/>
    <w:rsid w:val="000F7C0F"/>
    <w:rsid w:val="000F7CC2"/>
    <w:rsid w:val="00110B5C"/>
    <w:rsid w:val="001178B0"/>
    <w:rsid w:val="00126A59"/>
    <w:rsid w:val="00127352"/>
    <w:rsid w:val="0014530B"/>
    <w:rsid w:val="0015280A"/>
    <w:rsid w:val="00153CFC"/>
    <w:rsid w:val="001558BE"/>
    <w:rsid w:val="00156402"/>
    <w:rsid w:val="00165BE1"/>
    <w:rsid w:val="00193B66"/>
    <w:rsid w:val="001959EB"/>
    <w:rsid w:val="001A0DCD"/>
    <w:rsid w:val="001A0FFB"/>
    <w:rsid w:val="001A4C46"/>
    <w:rsid w:val="001C1153"/>
    <w:rsid w:val="001C61CF"/>
    <w:rsid w:val="001F6A79"/>
    <w:rsid w:val="00207AF3"/>
    <w:rsid w:val="00221616"/>
    <w:rsid w:val="00232259"/>
    <w:rsid w:val="002343C8"/>
    <w:rsid w:val="002407E0"/>
    <w:rsid w:val="00241704"/>
    <w:rsid w:val="002421F6"/>
    <w:rsid w:val="00244D66"/>
    <w:rsid w:val="00247066"/>
    <w:rsid w:val="00250FB8"/>
    <w:rsid w:val="00273AB1"/>
    <w:rsid w:val="00274A2D"/>
    <w:rsid w:val="00282980"/>
    <w:rsid w:val="002850D4"/>
    <w:rsid w:val="002B74E3"/>
    <w:rsid w:val="002D0ADB"/>
    <w:rsid w:val="002D4221"/>
    <w:rsid w:val="002F43C8"/>
    <w:rsid w:val="00301B94"/>
    <w:rsid w:val="00302D14"/>
    <w:rsid w:val="00305626"/>
    <w:rsid w:val="003131DE"/>
    <w:rsid w:val="00314E4B"/>
    <w:rsid w:val="00315988"/>
    <w:rsid w:val="0031790E"/>
    <w:rsid w:val="00322F1F"/>
    <w:rsid w:val="00327D1C"/>
    <w:rsid w:val="003312E7"/>
    <w:rsid w:val="00336F39"/>
    <w:rsid w:val="0035196E"/>
    <w:rsid w:val="00351B45"/>
    <w:rsid w:val="00354F07"/>
    <w:rsid w:val="00356AB1"/>
    <w:rsid w:val="00357E9B"/>
    <w:rsid w:val="00361DB6"/>
    <w:rsid w:val="0037740C"/>
    <w:rsid w:val="0039380B"/>
    <w:rsid w:val="003958FE"/>
    <w:rsid w:val="00397C97"/>
    <w:rsid w:val="003A08AB"/>
    <w:rsid w:val="003A7E5E"/>
    <w:rsid w:val="003B378C"/>
    <w:rsid w:val="003C1418"/>
    <w:rsid w:val="003C4A77"/>
    <w:rsid w:val="003E00DB"/>
    <w:rsid w:val="003E4A7A"/>
    <w:rsid w:val="003F766D"/>
    <w:rsid w:val="0040011C"/>
    <w:rsid w:val="004007F2"/>
    <w:rsid w:val="00407F3C"/>
    <w:rsid w:val="004112FE"/>
    <w:rsid w:val="00414FF3"/>
    <w:rsid w:val="00426E65"/>
    <w:rsid w:val="00442230"/>
    <w:rsid w:val="00446931"/>
    <w:rsid w:val="004526D2"/>
    <w:rsid w:val="00477D89"/>
    <w:rsid w:val="00481070"/>
    <w:rsid w:val="004A4770"/>
    <w:rsid w:val="004B1992"/>
    <w:rsid w:val="004B6924"/>
    <w:rsid w:val="004C22D0"/>
    <w:rsid w:val="004D104E"/>
    <w:rsid w:val="004D57C7"/>
    <w:rsid w:val="004F2318"/>
    <w:rsid w:val="00500E76"/>
    <w:rsid w:val="00503E39"/>
    <w:rsid w:val="0050647C"/>
    <w:rsid w:val="005064DA"/>
    <w:rsid w:val="00507728"/>
    <w:rsid w:val="00512A93"/>
    <w:rsid w:val="005142EA"/>
    <w:rsid w:val="00526638"/>
    <w:rsid w:val="00531BDC"/>
    <w:rsid w:val="005350E8"/>
    <w:rsid w:val="005376EA"/>
    <w:rsid w:val="00545336"/>
    <w:rsid w:val="0056099F"/>
    <w:rsid w:val="00560D87"/>
    <w:rsid w:val="00561AC3"/>
    <w:rsid w:val="00562F82"/>
    <w:rsid w:val="00566A54"/>
    <w:rsid w:val="00573D9E"/>
    <w:rsid w:val="00595EBA"/>
    <w:rsid w:val="005B05EB"/>
    <w:rsid w:val="005B166B"/>
    <w:rsid w:val="005C23EC"/>
    <w:rsid w:val="005F4535"/>
    <w:rsid w:val="006000E3"/>
    <w:rsid w:val="00620BAD"/>
    <w:rsid w:val="0062496E"/>
    <w:rsid w:val="00630158"/>
    <w:rsid w:val="00631B7D"/>
    <w:rsid w:val="006323EA"/>
    <w:rsid w:val="00634650"/>
    <w:rsid w:val="00635E7C"/>
    <w:rsid w:val="00637A97"/>
    <w:rsid w:val="006405D0"/>
    <w:rsid w:val="00646270"/>
    <w:rsid w:val="00655F4B"/>
    <w:rsid w:val="00657E93"/>
    <w:rsid w:val="00661A7D"/>
    <w:rsid w:val="006671D1"/>
    <w:rsid w:val="0067015E"/>
    <w:rsid w:val="006711A3"/>
    <w:rsid w:val="00681235"/>
    <w:rsid w:val="00684A2B"/>
    <w:rsid w:val="006850DB"/>
    <w:rsid w:val="0069176E"/>
    <w:rsid w:val="006C21AE"/>
    <w:rsid w:val="006C6DAA"/>
    <w:rsid w:val="006D09A7"/>
    <w:rsid w:val="006E04CF"/>
    <w:rsid w:val="00700352"/>
    <w:rsid w:val="00703969"/>
    <w:rsid w:val="007048B0"/>
    <w:rsid w:val="00705656"/>
    <w:rsid w:val="00707D9D"/>
    <w:rsid w:val="00751917"/>
    <w:rsid w:val="00752A0C"/>
    <w:rsid w:val="00752A91"/>
    <w:rsid w:val="007537D5"/>
    <w:rsid w:val="007718D7"/>
    <w:rsid w:val="00773C02"/>
    <w:rsid w:val="007B1E2D"/>
    <w:rsid w:val="007B4976"/>
    <w:rsid w:val="007C1881"/>
    <w:rsid w:val="007C2FA4"/>
    <w:rsid w:val="007D6FD0"/>
    <w:rsid w:val="007E3E4E"/>
    <w:rsid w:val="007F044B"/>
    <w:rsid w:val="008011CE"/>
    <w:rsid w:val="008014C4"/>
    <w:rsid w:val="00841D33"/>
    <w:rsid w:val="00847121"/>
    <w:rsid w:val="0087327B"/>
    <w:rsid w:val="00877CB9"/>
    <w:rsid w:val="00885646"/>
    <w:rsid w:val="0088688B"/>
    <w:rsid w:val="0089477D"/>
    <w:rsid w:val="00897A49"/>
    <w:rsid w:val="008B0291"/>
    <w:rsid w:val="008B0C31"/>
    <w:rsid w:val="008C0C0F"/>
    <w:rsid w:val="008C3AA7"/>
    <w:rsid w:val="008C5625"/>
    <w:rsid w:val="008C6DD1"/>
    <w:rsid w:val="008D65E7"/>
    <w:rsid w:val="008D78F4"/>
    <w:rsid w:val="008E0BCB"/>
    <w:rsid w:val="008E6975"/>
    <w:rsid w:val="008F0D15"/>
    <w:rsid w:val="008F52BF"/>
    <w:rsid w:val="0091096D"/>
    <w:rsid w:val="009109C3"/>
    <w:rsid w:val="00911A02"/>
    <w:rsid w:val="00911BAD"/>
    <w:rsid w:val="009145AE"/>
    <w:rsid w:val="00936E35"/>
    <w:rsid w:val="00945EB7"/>
    <w:rsid w:val="00947C93"/>
    <w:rsid w:val="009644B2"/>
    <w:rsid w:val="0097219F"/>
    <w:rsid w:val="00980C60"/>
    <w:rsid w:val="00984A4E"/>
    <w:rsid w:val="009A0AD3"/>
    <w:rsid w:val="009A39FB"/>
    <w:rsid w:val="009A44D3"/>
    <w:rsid w:val="009B1626"/>
    <w:rsid w:val="009B406D"/>
    <w:rsid w:val="009C71B6"/>
    <w:rsid w:val="00A211EE"/>
    <w:rsid w:val="00A268C2"/>
    <w:rsid w:val="00A32A0B"/>
    <w:rsid w:val="00A32D95"/>
    <w:rsid w:val="00A47C11"/>
    <w:rsid w:val="00A50583"/>
    <w:rsid w:val="00A51A55"/>
    <w:rsid w:val="00A527B2"/>
    <w:rsid w:val="00A52C55"/>
    <w:rsid w:val="00A704FE"/>
    <w:rsid w:val="00A90295"/>
    <w:rsid w:val="00A9144E"/>
    <w:rsid w:val="00A938D4"/>
    <w:rsid w:val="00A959B5"/>
    <w:rsid w:val="00AA57C3"/>
    <w:rsid w:val="00AB0491"/>
    <w:rsid w:val="00AB7684"/>
    <w:rsid w:val="00AC2608"/>
    <w:rsid w:val="00AC2865"/>
    <w:rsid w:val="00B048F2"/>
    <w:rsid w:val="00B11C1D"/>
    <w:rsid w:val="00B20736"/>
    <w:rsid w:val="00B222E6"/>
    <w:rsid w:val="00B3267D"/>
    <w:rsid w:val="00B326F3"/>
    <w:rsid w:val="00B33060"/>
    <w:rsid w:val="00B35F86"/>
    <w:rsid w:val="00B362B7"/>
    <w:rsid w:val="00B41088"/>
    <w:rsid w:val="00B46A36"/>
    <w:rsid w:val="00B54111"/>
    <w:rsid w:val="00B55772"/>
    <w:rsid w:val="00B60E5D"/>
    <w:rsid w:val="00B65841"/>
    <w:rsid w:val="00B74F91"/>
    <w:rsid w:val="00B82B52"/>
    <w:rsid w:val="00B9065E"/>
    <w:rsid w:val="00B96B6C"/>
    <w:rsid w:val="00BA186F"/>
    <w:rsid w:val="00BB5768"/>
    <w:rsid w:val="00BC3E4C"/>
    <w:rsid w:val="00BC514D"/>
    <w:rsid w:val="00C160A0"/>
    <w:rsid w:val="00C2479A"/>
    <w:rsid w:val="00C3622A"/>
    <w:rsid w:val="00C40111"/>
    <w:rsid w:val="00C50DFC"/>
    <w:rsid w:val="00C517CD"/>
    <w:rsid w:val="00C541D4"/>
    <w:rsid w:val="00C73F61"/>
    <w:rsid w:val="00C77B85"/>
    <w:rsid w:val="00C804DF"/>
    <w:rsid w:val="00C82F35"/>
    <w:rsid w:val="00C82FDD"/>
    <w:rsid w:val="00C942E3"/>
    <w:rsid w:val="00CA6FF8"/>
    <w:rsid w:val="00CB210F"/>
    <w:rsid w:val="00CC0DF1"/>
    <w:rsid w:val="00CC1462"/>
    <w:rsid w:val="00CC5619"/>
    <w:rsid w:val="00CD62BB"/>
    <w:rsid w:val="00CE7470"/>
    <w:rsid w:val="00CE77DA"/>
    <w:rsid w:val="00CF46D2"/>
    <w:rsid w:val="00D0225A"/>
    <w:rsid w:val="00D06509"/>
    <w:rsid w:val="00D07347"/>
    <w:rsid w:val="00D1214C"/>
    <w:rsid w:val="00D124E0"/>
    <w:rsid w:val="00D15ACA"/>
    <w:rsid w:val="00D202AE"/>
    <w:rsid w:val="00D25B1D"/>
    <w:rsid w:val="00D26D8B"/>
    <w:rsid w:val="00D35918"/>
    <w:rsid w:val="00D41CF5"/>
    <w:rsid w:val="00D50A26"/>
    <w:rsid w:val="00D57B73"/>
    <w:rsid w:val="00D6273C"/>
    <w:rsid w:val="00D835D5"/>
    <w:rsid w:val="00D83C6F"/>
    <w:rsid w:val="00D97B7C"/>
    <w:rsid w:val="00DA0E85"/>
    <w:rsid w:val="00DB0CD5"/>
    <w:rsid w:val="00DB3C9D"/>
    <w:rsid w:val="00DC3F36"/>
    <w:rsid w:val="00DC553E"/>
    <w:rsid w:val="00DD1E3D"/>
    <w:rsid w:val="00DD34E0"/>
    <w:rsid w:val="00E01226"/>
    <w:rsid w:val="00E03FCC"/>
    <w:rsid w:val="00E071CA"/>
    <w:rsid w:val="00E11329"/>
    <w:rsid w:val="00E22417"/>
    <w:rsid w:val="00E33334"/>
    <w:rsid w:val="00E42878"/>
    <w:rsid w:val="00E43BC6"/>
    <w:rsid w:val="00E51DCD"/>
    <w:rsid w:val="00E64638"/>
    <w:rsid w:val="00E92D22"/>
    <w:rsid w:val="00E96762"/>
    <w:rsid w:val="00EB0597"/>
    <w:rsid w:val="00EC49EE"/>
    <w:rsid w:val="00EC4AA1"/>
    <w:rsid w:val="00EC5115"/>
    <w:rsid w:val="00EC7473"/>
    <w:rsid w:val="00EE19CD"/>
    <w:rsid w:val="00EE3230"/>
    <w:rsid w:val="00EE643B"/>
    <w:rsid w:val="00F061E1"/>
    <w:rsid w:val="00F139B5"/>
    <w:rsid w:val="00F14A6B"/>
    <w:rsid w:val="00F21E1C"/>
    <w:rsid w:val="00F401C7"/>
    <w:rsid w:val="00F4192C"/>
    <w:rsid w:val="00F54540"/>
    <w:rsid w:val="00F71A76"/>
    <w:rsid w:val="00F874A9"/>
    <w:rsid w:val="00FA2CBB"/>
    <w:rsid w:val="00FB300D"/>
    <w:rsid w:val="00FB55D2"/>
    <w:rsid w:val="00FB6208"/>
    <w:rsid w:val="00FD28B4"/>
    <w:rsid w:val="00FD5B9E"/>
    <w:rsid w:val="00FF4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D5"/>
    <w:pPr>
      <w:spacing w:after="200" w:line="276" w:lineRule="auto"/>
    </w:pPr>
    <w:rPr>
      <w:lang w:eastAsia="en-US"/>
    </w:rPr>
  </w:style>
  <w:style w:type="paragraph" w:styleId="Heading2">
    <w:name w:val="heading 2"/>
    <w:basedOn w:val="Normal"/>
    <w:next w:val="Normal"/>
    <w:link w:val="Heading2Char"/>
    <w:uiPriority w:val="99"/>
    <w:qFormat/>
    <w:rsid w:val="00C3622A"/>
    <w:pPr>
      <w:keepNext/>
      <w:spacing w:after="0" w:line="240" w:lineRule="auto"/>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9"/>
    <w:qFormat/>
    <w:rsid w:val="00C3622A"/>
    <w:pPr>
      <w:keepNext/>
      <w:spacing w:after="0" w:line="240" w:lineRule="auto"/>
      <w:outlineLvl w:val="2"/>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3622A"/>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C3622A"/>
    <w:rPr>
      <w:rFonts w:ascii="Times New Roman" w:hAnsi="Times New Roman" w:cs="Times New Roman"/>
      <w:b/>
      <w:bCs/>
      <w:sz w:val="24"/>
      <w:szCs w:val="24"/>
    </w:rPr>
  </w:style>
  <w:style w:type="paragraph" w:styleId="BalloonText">
    <w:name w:val="Balloon Text"/>
    <w:basedOn w:val="Normal"/>
    <w:link w:val="BalloonTextChar"/>
    <w:uiPriority w:val="99"/>
    <w:semiHidden/>
    <w:rsid w:val="003A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E5E"/>
    <w:rPr>
      <w:rFonts w:ascii="Tahoma" w:hAnsi="Tahoma" w:cs="Tahoma"/>
      <w:sz w:val="16"/>
      <w:szCs w:val="16"/>
    </w:rPr>
  </w:style>
  <w:style w:type="character" w:styleId="Hyperlink">
    <w:name w:val="Hyperlink"/>
    <w:basedOn w:val="DefaultParagraphFont"/>
    <w:uiPriority w:val="99"/>
    <w:rsid w:val="005142EA"/>
    <w:rPr>
      <w:rFonts w:cs="Times New Roman"/>
      <w:color w:val="0000FF"/>
      <w:u w:val="single"/>
    </w:rPr>
  </w:style>
  <w:style w:type="paragraph" w:styleId="NoSpacing">
    <w:name w:val="No Spacing"/>
    <w:uiPriority w:val="1"/>
    <w:qFormat/>
    <w:rsid w:val="005B166B"/>
    <w:rPr>
      <w:rFonts w:asciiTheme="minorHAnsi" w:eastAsiaTheme="minorHAnsi" w:hAnsiTheme="minorHAnsi" w:cstheme="minorBidi"/>
      <w:lang w:eastAsia="en-US"/>
    </w:rPr>
  </w:style>
  <w:style w:type="character" w:customStyle="1" w:styleId="apple-converted-space">
    <w:name w:val="apple-converted-space"/>
    <w:basedOn w:val="DefaultParagraphFont"/>
    <w:rsid w:val="00700352"/>
  </w:style>
</w:styles>
</file>

<file path=word/webSettings.xml><?xml version="1.0" encoding="utf-8"?>
<w:webSettings xmlns:r="http://schemas.openxmlformats.org/officeDocument/2006/relationships" xmlns:w="http://schemas.openxmlformats.org/wordprocessingml/2006/main">
  <w:divs>
    <w:div w:id="561451263">
      <w:bodyDiv w:val="1"/>
      <w:marLeft w:val="0"/>
      <w:marRight w:val="0"/>
      <w:marTop w:val="0"/>
      <w:marBottom w:val="0"/>
      <w:divBdr>
        <w:top w:val="none" w:sz="0" w:space="0" w:color="auto"/>
        <w:left w:val="none" w:sz="0" w:space="0" w:color="auto"/>
        <w:bottom w:val="none" w:sz="0" w:space="0" w:color="auto"/>
        <w:right w:val="none" w:sz="0" w:space="0" w:color="auto"/>
      </w:divBdr>
    </w:div>
    <w:div w:id="1333265463">
      <w:bodyDiv w:val="1"/>
      <w:marLeft w:val="0"/>
      <w:marRight w:val="0"/>
      <w:marTop w:val="0"/>
      <w:marBottom w:val="0"/>
      <w:divBdr>
        <w:top w:val="none" w:sz="0" w:space="0" w:color="auto"/>
        <w:left w:val="none" w:sz="0" w:space="0" w:color="auto"/>
        <w:bottom w:val="none" w:sz="0" w:space="0" w:color="auto"/>
        <w:right w:val="none" w:sz="0" w:space="0" w:color="auto"/>
      </w:divBdr>
    </w:div>
    <w:div w:id="1444810884">
      <w:bodyDiv w:val="1"/>
      <w:marLeft w:val="0"/>
      <w:marRight w:val="0"/>
      <w:marTop w:val="0"/>
      <w:marBottom w:val="0"/>
      <w:divBdr>
        <w:top w:val="none" w:sz="0" w:space="0" w:color="auto"/>
        <w:left w:val="none" w:sz="0" w:space="0" w:color="auto"/>
        <w:bottom w:val="none" w:sz="0" w:space="0" w:color="auto"/>
        <w:right w:val="none" w:sz="0" w:space="0" w:color="auto"/>
      </w:divBdr>
    </w:div>
    <w:div w:id="15215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o.ingerson@propertyiq.co.nz" TargetMode="External"/><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ingersonj</dc:creator>
  <cp:lastModifiedBy>BH</cp:lastModifiedBy>
  <cp:revision>2</cp:revision>
  <cp:lastPrinted>2012-02-13T02:45:00Z</cp:lastPrinted>
  <dcterms:created xsi:type="dcterms:W3CDTF">2012-08-09T00:14:00Z</dcterms:created>
  <dcterms:modified xsi:type="dcterms:W3CDTF">2012-08-09T00:14:00Z</dcterms:modified>
</cp:coreProperties>
</file>